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5B4C3" w14:textId="0A084053" w:rsidR="006A1660" w:rsidRDefault="006A1660" w:rsidP="002B321F">
      <w:pPr>
        <w:jc w:val="center"/>
        <w:rPr>
          <w:rFonts w:asciiTheme="majorHAnsi" w:hAnsiTheme="majorHAnsi" w:cstheme="minorHAnsi"/>
          <w:b/>
          <w:sz w:val="28"/>
          <w:szCs w:val="28"/>
        </w:rPr>
      </w:pPr>
      <w:bookmarkStart w:id="0" w:name="_GoBack"/>
      <w:bookmarkEnd w:id="0"/>
      <w:r w:rsidRPr="001B0A96">
        <w:rPr>
          <w:rFonts w:asciiTheme="majorHAnsi" w:hAnsiTheme="majorHAnsi" w:cstheme="minorHAnsi"/>
          <w:b/>
          <w:sz w:val="28"/>
          <w:szCs w:val="28"/>
        </w:rPr>
        <w:t xml:space="preserve">Transitional Credit - Reality or </w:t>
      </w:r>
      <w:r w:rsidR="002F07B5" w:rsidRPr="001B0A96">
        <w:rPr>
          <w:rFonts w:asciiTheme="majorHAnsi" w:hAnsiTheme="majorHAnsi" w:cstheme="minorHAnsi"/>
          <w:b/>
          <w:sz w:val="28"/>
          <w:szCs w:val="28"/>
        </w:rPr>
        <w:t>mirage</w:t>
      </w:r>
      <w:r w:rsidR="001D02AC">
        <w:rPr>
          <w:rFonts w:asciiTheme="majorHAnsi" w:hAnsiTheme="majorHAnsi" w:cstheme="minorHAnsi"/>
          <w:b/>
          <w:sz w:val="28"/>
          <w:szCs w:val="28"/>
        </w:rPr>
        <w:t xml:space="preserve">? </w:t>
      </w:r>
    </w:p>
    <w:p w14:paraId="79986CD7" w14:textId="67216AB3" w:rsidR="001D02AC" w:rsidRDefault="001D02AC" w:rsidP="002B321F">
      <w:pPr>
        <w:jc w:val="center"/>
        <w:rPr>
          <w:rFonts w:asciiTheme="majorHAnsi" w:hAnsiTheme="majorHAnsi" w:cstheme="minorHAnsi"/>
          <w:b/>
          <w:sz w:val="28"/>
          <w:szCs w:val="28"/>
        </w:rPr>
      </w:pPr>
      <w:r>
        <w:rPr>
          <w:rFonts w:asciiTheme="majorHAnsi" w:hAnsiTheme="majorHAnsi" w:cstheme="minorHAnsi"/>
          <w:b/>
          <w:sz w:val="28"/>
          <w:szCs w:val="28"/>
        </w:rPr>
        <w:t>(S. G. Sanjana Sr</w:t>
      </w:r>
      <w:r w:rsidR="00C72297">
        <w:rPr>
          <w:rFonts w:asciiTheme="majorHAnsi" w:hAnsiTheme="majorHAnsi" w:cstheme="minorHAnsi"/>
          <w:b/>
          <w:sz w:val="28"/>
          <w:szCs w:val="28"/>
        </w:rPr>
        <w:t>i</w:t>
      </w:r>
      <w:r>
        <w:rPr>
          <w:rFonts w:asciiTheme="majorHAnsi" w:hAnsiTheme="majorHAnsi" w:cstheme="minorHAnsi"/>
          <w:b/>
          <w:sz w:val="28"/>
          <w:szCs w:val="28"/>
        </w:rPr>
        <w:t>, Advocate, Swamy Associates)</w:t>
      </w:r>
    </w:p>
    <w:p w14:paraId="26625928" w14:textId="77777777" w:rsidR="001D02AC" w:rsidRPr="001B0A96" w:rsidRDefault="001D02AC" w:rsidP="002B321F">
      <w:pPr>
        <w:jc w:val="center"/>
        <w:rPr>
          <w:rFonts w:asciiTheme="majorHAnsi" w:hAnsiTheme="majorHAnsi" w:cstheme="minorHAnsi"/>
          <w:b/>
          <w:sz w:val="28"/>
          <w:szCs w:val="28"/>
        </w:rPr>
      </w:pPr>
    </w:p>
    <w:p w14:paraId="59446B10" w14:textId="77777777" w:rsidR="00625C7F" w:rsidRPr="00C977DD" w:rsidRDefault="00802FC7" w:rsidP="00A43B62">
      <w:pPr>
        <w:jc w:val="both"/>
        <w:rPr>
          <w:rFonts w:asciiTheme="majorHAnsi" w:hAnsiTheme="majorHAnsi" w:cstheme="minorHAnsi"/>
          <w:sz w:val="24"/>
          <w:szCs w:val="24"/>
        </w:rPr>
      </w:pPr>
      <w:r w:rsidRPr="00C977DD">
        <w:rPr>
          <w:rFonts w:asciiTheme="majorHAnsi" w:hAnsiTheme="majorHAnsi" w:cstheme="minorHAnsi"/>
          <w:sz w:val="24"/>
          <w:szCs w:val="24"/>
        </w:rPr>
        <w:t>Transitional Provisions under GST Act is introduced to enable the tax payers to</w:t>
      </w:r>
      <w:r w:rsidR="00194608">
        <w:rPr>
          <w:rFonts w:asciiTheme="majorHAnsi" w:hAnsiTheme="majorHAnsi" w:cstheme="minorHAnsi"/>
          <w:sz w:val="24"/>
          <w:szCs w:val="24"/>
        </w:rPr>
        <w:t xml:space="preserve"> claim their eligible credit</w:t>
      </w:r>
      <w:r w:rsidR="00463600">
        <w:rPr>
          <w:rFonts w:asciiTheme="majorHAnsi" w:hAnsiTheme="majorHAnsi" w:cstheme="minorHAnsi"/>
          <w:sz w:val="24"/>
          <w:szCs w:val="24"/>
        </w:rPr>
        <w:t xml:space="preserve"> of </w:t>
      </w:r>
      <w:r w:rsidRPr="00C977DD">
        <w:rPr>
          <w:rFonts w:asciiTheme="majorHAnsi" w:hAnsiTheme="majorHAnsi" w:cstheme="minorHAnsi"/>
          <w:sz w:val="24"/>
          <w:szCs w:val="24"/>
        </w:rPr>
        <w:t xml:space="preserve">the </w:t>
      </w:r>
      <w:r w:rsidR="00463600" w:rsidRPr="00C977DD">
        <w:rPr>
          <w:rFonts w:asciiTheme="majorHAnsi" w:hAnsiTheme="majorHAnsi" w:cstheme="minorHAnsi"/>
          <w:sz w:val="24"/>
          <w:szCs w:val="24"/>
        </w:rPr>
        <w:t>tax</w:t>
      </w:r>
      <w:r w:rsidR="00463600">
        <w:rPr>
          <w:rFonts w:asciiTheme="majorHAnsi" w:hAnsiTheme="majorHAnsi" w:cstheme="minorHAnsi"/>
          <w:sz w:val="24"/>
          <w:szCs w:val="24"/>
        </w:rPr>
        <w:t xml:space="preserve">/duty </w:t>
      </w:r>
      <w:r w:rsidRPr="00C977DD">
        <w:rPr>
          <w:rFonts w:asciiTheme="majorHAnsi" w:hAnsiTheme="majorHAnsi" w:cstheme="minorHAnsi"/>
          <w:sz w:val="24"/>
          <w:szCs w:val="24"/>
        </w:rPr>
        <w:t>already paid</w:t>
      </w:r>
      <w:r w:rsidR="002F07B5">
        <w:rPr>
          <w:rFonts w:asciiTheme="majorHAnsi" w:hAnsiTheme="majorHAnsi" w:cstheme="minorHAnsi"/>
          <w:sz w:val="24"/>
          <w:szCs w:val="24"/>
        </w:rPr>
        <w:t xml:space="preserve"> on the goods and services</w:t>
      </w:r>
      <w:r w:rsidRPr="00C977DD">
        <w:rPr>
          <w:rFonts w:asciiTheme="majorHAnsi" w:hAnsiTheme="majorHAnsi" w:cstheme="minorHAnsi"/>
          <w:sz w:val="24"/>
          <w:szCs w:val="24"/>
        </w:rPr>
        <w:t xml:space="preserve"> </w:t>
      </w:r>
      <w:r w:rsidR="00625C7F" w:rsidRPr="00C977DD">
        <w:rPr>
          <w:rFonts w:asciiTheme="majorHAnsi" w:hAnsiTheme="majorHAnsi" w:cstheme="minorHAnsi"/>
          <w:sz w:val="24"/>
          <w:szCs w:val="24"/>
        </w:rPr>
        <w:t xml:space="preserve">in the Pre- GST regime and to </w:t>
      </w:r>
      <w:r w:rsidRPr="00C977DD">
        <w:rPr>
          <w:rFonts w:asciiTheme="majorHAnsi" w:hAnsiTheme="majorHAnsi" w:cstheme="minorHAnsi"/>
          <w:sz w:val="24"/>
          <w:szCs w:val="24"/>
        </w:rPr>
        <w:t>carry forward th</w:t>
      </w:r>
      <w:r w:rsidR="00625C7F" w:rsidRPr="00C977DD">
        <w:rPr>
          <w:rFonts w:asciiTheme="majorHAnsi" w:hAnsiTheme="majorHAnsi" w:cstheme="minorHAnsi"/>
          <w:sz w:val="24"/>
          <w:szCs w:val="24"/>
        </w:rPr>
        <w:t xml:space="preserve">e same to the GST regime. This </w:t>
      </w:r>
      <w:r w:rsidR="002F07B5">
        <w:rPr>
          <w:rFonts w:asciiTheme="majorHAnsi" w:hAnsiTheme="majorHAnsi" w:cstheme="minorHAnsi"/>
          <w:sz w:val="24"/>
          <w:szCs w:val="24"/>
        </w:rPr>
        <w:t xml:space="preserve">transitional </w:t>
      </w:r>
      <w:r w:rsidR="00625C7F" w:rsidRPr="00C977DD">
        <w:rPr>
          <w:rFonts w:asciiTheme="majorHAnsi" w:hAnsiTheme="majorHAnsi" w:cstheme="minorHAnsi"/>
          <w:sz w:val="24"/>
          <w:szCs w:val="24"/>
        </w:rPr>
        <w:t xml:space="preserve">credit can be used to discharge their tax liability in the GST regime.  </w:t>
      </w:r>
      <w:r w:rsidR="002F07B5">
        <w:rPr>
          <w:rFonts w:asciiTheme="majorHAnsi" w:hAnsiTheme="majorHAnsi" w:cstheme="minorHAnsi"/>
          <w:sz w:val="24"/>
          <w:szCs w:val="24"/>
        </w:rPr>
        <w:t xml:space="preserve">Section 140 of CGST Act, 2017 prescribes eligibility and conditions for taking credit whereas </w:t>
      </w:r>
      <w:r w:rsidR="005B1821">
        <w:rPr>
          <w:rFonts w:asciiTheme="majorHAnsi" w:hAnsiTheme="majorHAnsi" w:cstheme="minorHAnsi"/>
          <w:sz w:val="24"/>
          <w:szCs w:val="24"/>
        </w:rPr>
        <w:t xml:space="preserve">Rule 117 of CGST Rules, 2017 </w:t>
      </w:r>
      <w:r w:rsidR="002F07B5">
        <w:rPr>
          <w:rFonts w:asciiTheme="majorHAnsi" w:hAnsiTheme="majorHAnsi" w:cstheme="minorHAnsi"/>
          <w:sz w:val="24"/>
          <w:szCs w:val="24"/>
        </w:rPr>
        <w:t>prescribes procedure for taking credit. Rule 117</w:t>
      </w:r>
      <w:r w:rsidR="005B1821">
        <w:rPr>
          <w:rFonts w:asciiTheme="majorHAnsi" w:hAnsiTheme="majorHAnsi" w:cstheme="minorHAnsi"/>
          <w:sz w:val="24"/>
          <w:szCs w:val="24"/>
        </w:rPr>
        <w:t xml:space="preserve"> </w:t>
      </w:r>
      <w:r w:rsidR="001B0A96">
        <w:rPr>
          <w:rFonts w:asciiTheme="majorHAnsi" w:hAnsiTheme="majorHAnsi" w:cstheme="minorHAnsi"/>
          <w:sz w:val="24"/>
          <w:szCs w:val="24"/>
        </w:rPr>
        <w:t>prescribes</w:t>
      </w:r>
      <w:r w:rsidR="002F07B5">
        <w:rPr>
          <w:rFonts w:asciiTheme="majorHAnsi" w:hAnsiTheme="majorHAnsi" w:cstheme="minorHAnsi"/>
          <w:sz w:val="24"/>
          <w:szCs w:val="24"/>
        </w:rPr>
        <w:t xml:space="preserve"> format of declaration for various situations such as to carry forward the closing balance of credit, to take the tax which was not taken under the erstwhile law but eligible under GST Act, etc. Another condition prescribed under the said Rule is that </w:t>
      </w:r>
      <w:r w:rsidR="005B1821">
        <w:rPr>
          <w:rFonts w:asciiTheme="majorHAnsi" w:hAnsiTheme="majorHAnsi" w:cstheme="minorHAnsi"/>
          <w:sz w:val="24"/>
          <w:szCs w:val="24"/>
        </w:rPr>
        <w:t xml:space="preserve">the tax payer has to </w:t>
      </w:r>
      <w:r w:rsidR="00625C7F" w:rsidRPr="00C977DD">
        <w:rPr>
          <w:rFonts w:asciiTheme="majorHAnsi" w:hAnsiTheme="majorHAnsi" w:cstheme="minorHAnsi"/>
          <w:sz w:val="24"/>
          <w:szCs w:val="24"/>
        </w:rPr>
        <w:t xml:space="preserve">file a </w:t>
      </w:r>
      <w:r w:rsidR="006A1660">
        <w:rPr>
          <w:rFonts w:asciiTheme="majorHAnsi" w:hAnsiTheme="majorHAnsi" w:cstheme="minorHAnsi"/>
          <w:sz w:val="24"/>
          <w:szCs w:val="24"/>
        </w:rPr>
        <w:t xml:space="preserve">declaration in </w:t>
      </w:r>
      <w:r w:rsidR="001B0A96">
        <w:rPr>
          <w:rFonts w:asciiTheme="majorHAnsi" w:hAnsiTheme="majorHAnsi" w:cstheme="minorHAnsi"/>
          <w:sz w:val="24"/>
          <w:szCs w:val="24"/>
        </w:rPr>
        <w:t xml:space="preserve">Form </w:t>
      </w:r>
      <w:r w:rsidR="00625C7F" w:rsidRPr="00C977DD">
        <w:rPr>
          <w:rFonts w:asciiTheme="majorHAnsi" w:hAnsiTheme="majorHAnsi" w:cstheme="minorHAnsi"/>
          <w:sz w:val="24"/>
          <w:szCs w:val="24"/>
        </w:rPr>
        <w:t>TRAN 1</w:t>
      </w:r>
      <w:r w:rsidR="006A1660">
        <w:rPr>
          <w:rFonts w:asciiTheme="majorHAnsi" w:hAnsiTheme="majorHAnsi" w:cstheme="minorHAnsi"/>
          <w:sz w:val="24"/>
          <w:szCs w:val="24"/>
        </w:rPr>
        <w:t>on or before 27.12.2017</w:t>
      </w:r>
      <w:r w:rsidR="00625C7F" w:rsidRPr="00C977DD">
        <w:rPr>
          <w:rFonts w:asciiTheme="majorHAnsi" w:hAnsiTheme="majorHAnsi" w:cstheme="minorHAnsi"/>
          <w:sz w:val="24"/>
          <w:szCs w:val="24"/>
        </w:rPr>
        <w:t xml:space="preserve">. </w:t>
      </w:r>
      <w:r w:rsidR="002F07B5">
        <w:rPr>
          <w:rFonts w:asciiTheme="majorHAnsi" w:hAnsiTheme="majorHAnsi" w:cstheme="minorHAnsi"/>
          <w:sz w:val="24"/>
          <w:szCs w:val="24"/>
        </w:rPr>
        <w:t>Further, the Rule prescribes that the declaration has to be filed electronically on the GST portal and no manual filing is envisaged</w:t>
      </w:r>
    </w:p>
    <w:p w14:paraId="30CC36EE" w14:textId="77777777" w:rsidR="00303679" w:rsidRPr="00C977DD" w:rsidRDefault="002F07B5" w:rsidP="00A43B62">
      <w:pPr>
        <w:jc w:val="both"/>
        <w:rPr>
          <w:rFonts w:asciiTheme="majorHAnsi" w:hAnsiTheme="majorHAnsi" w:cstheme="minorHAnsi"/>
          <w:sz w:val="24"/>
          <w:szCs w:val="24"/>
        </w:rPr>
      </w:pPr>
      <w:r>
        <w:rPr>
          <w:rFonts w:asciiTheme="majorHAnsi" w:hAnsiTheme="majorHAnsi" w:cstheme="minorHAnsi"/>
          <w:sz w:val="24"/>
          <w:szCs w:val="24"/>
        </w:rPr>
        <w:t xml:space="preserve">2. </w:t>
      </w:r>
      <w:r w:rsidR="00D55398" w:rsidRPr="00C977DD">
        <w:rPr>
          <w:rFonts w:asciiTheme="majorHAnsi" w:hAnsiTheme="majorHAnsi" w:cstheme="minorHAnsi"/>
          <w:sz w:val="24"/>
          <w:szCs w:val="24"/>
        </w:rPr>
        <w:t xml:space="preserve">However, </w:t>
      </w:r>
      <w:r>
        <w:rPr>
          <w:rFonts w:asciiTheme="majorHAnsi" w:hAnsiTheme="majorHAnsi" w:cstheme="minorHAnsi"/>
          <w:sz w:val="24"/>
          <w:szCs w:val="24"/>
        </w:rPr>
        <w:t xml:space="preserve">many tax payers could not file the Tran-1 declaration on account of technical glitches faced by them while submitting online. </w:t>
      </w:r>
      <w:r w:rsidR="00057650">
        <w:rPr>
          <w:rFonts w:asciiTheme="majorHAnsi" w:hAnsiTheme="majorHAnsi" w:cstheme="minorHAnsi"/>
          <w:sz w:val="24"/>
          <w:szCs w:val="24"/>
        </w:rPr>
        <w:t xml:space="preserve"> On the basis of </w:t>
      </w:r>
      <w:r w:rsidR="00161F0A" w:rsidRPr="00C977DD">
        <w:rPr>
          <w:rFonts w:asciiTheme="majorHAnsi" w:hAnsiTheme="majorHAnsi" w:cstheme="minorHAnsi"/>
          <w:sz w:val="24"/>
          <w:szCs w:val="24"/>
        </w:rPr>
        <w:t xml:space="preserve"> </w:t>
      </w:r>
      <w:r w:rsidR="003A1E50">
        <w:rPr>
          <w:rFonts w:asciiTheme="majorHAnsi" w:hAnsiTheme="majorHAnsi" w:cstheme="minorHAnsi"/>
          <w:sz w:val="24"/>
          <w:szCs w:val="24"/>
        </w:rPr>
        <w:t xml:space="preserve">representations </w:t>
      </w:r>
      <w:r w:rsidR="00303679" w:rsidRPr="00C977DD">
        <w:rPr>
          <w:rFonts w:asciiTheme="majorHAnsi" w:hAnsiTheme="majorHAnsi" w:cstheme="minorHAnsi"/>
          <w:sz w:val="24"/>
          <w:szCs w:val="24"/>
        </w:rPr>
        <w:t>filed by the aggrieved persons</w:t>
      </w:r>
      <w:r w:rsidR="00C977DD">
        <w:rPr>
          <w:rFonts w:asciiTheme="majorHAnsi" w:hAnsiTheme="majorHAnsi" w:cstheme="minorHAnsi"/>
          <w:sz w:val="24"/>
          <w:szCs w:val="24"/>
        </w:rPr>
        <w:t>,</w:t>
      </w:r>
      <w:r w:rsidR="005B1821">
        <w:rPr>
          <w:rFonts w:asciiTheme="majorHAnsi" w:hAnsiTheme="majorHAnsi" w:cstheme="minorHAnsi"/>
          <w:sz w:val="24"/>
          <w:szCs w:val="24"/>
        </w:rPr>
        <w:t xml:space="preserve">who were unable to file the declarations </w:t>
      </w:r>
      <w:r w:rsidR="002D2E7D">
        <w:rPr>
          <w:rFonts w:asciiTheme="majorHAnsi" w:hAnsiTheme="majorHAnsi" w:cstheme="minorHAnsi"/>
          <w:sz w:val="24"/>
          <w:szCs w:val="24"/>
        </w:rPr>
        <w:t xml:space="preserve">due to technical glitches, </w:t>
      </w:r>
      <w:r w:rsidR="00730C59">
        <w:rPr>
          <w:rFonts w:asciiTheme="majorHAnsi" w:hAnsiTheme="majorHAnsi" w:cstheme="minorHAnsi"/>
          <w:sz w:val="24"/>
          <w:szCs w:val="24"/>
        </w:rPr>
        <w:t>the</w:t>
      </w:r>
      <w:r w:rsidR="00303679" w:rsidRPr="00C977DD">
        <w:rPr>
          <w:rFonts w:asciiTheme="majorHAnsi" w:hAnsiTheme="majorHAnsi" w:cstheme="minorHAnsi"/>
          <w:sz w:val="24"/>
          <w:szCs w:val="24"/>
        </w:rPr>
        <w:t xml:space="preserve"> due date</w:t>
      </w:r>
      <w:r w:rsidR="00D55398" w:rsidRPr="00C977DD">
        <w:rPr>
          <w:rFonts w:asciiTheme="majorHAnsi" w:hAnsiTheme="majorHAnsi" w:cstheme="minorHAnsi"/>
          <w:sz w:val="24"/>
          <w:szCs w:val="24"/>
        </w:rPr>
        <w:t xml:space="preserve"> was</w:t>
      </w:r>
      <w:r w:rsidR="00A303F1" w:rsidRPr="00C977DD">
        <w:rPr>
          <w:rFonts w:asciiTheme="majorHAnsi" w:hAnsiTheme="majorHAnsi" w:cstheme="minorHAnsi"/>
          <w:sz w:val="24"/>
          <w:szCs w:val="24"/>
        </w:rPr>
        <w:t xml:space="preserve">  extended </w:t>
      </w:r>
      <w:r w:rsidR="00057650">
        <w:rPr>
          <w:rFonts w:asciiTheme="majorHAnsi" w:hAnsiTheme="majorHAnsi" w:cstheme="minorHAnsi"/>
          <w:sz w:val="24"/>
          <w:szCs w:val="24"/>
        </w:rPr>
        <w:t xml:space="preserve">thrice and the latest due date is </w:t>
      </w:r>
      <w:r w:rsidR="00A303F1" w:rsidRPr="00C977DD">
        <w:rPr>
          <w:rFonts w:asciiTheme="majorHAnsi" w:hAnsiTheme="majorHAnsi" w:cstheme="minorHAnsi"/>
          <w:sz w:val="24"/>
          <w:szCs w:val="24"/>
        </w:rPr>
        <w:t xml:space="preserve"> </w:t>
      </w:r>
      <w:r w:rsidR="00730C59" w:rsidRPr="00C977DD">
        <w:rPr>
          <w:rFonts w:asciiTheme="majorHAnsi" w:hAnsiTheme="majorHAnsi" w:cstheme="minorHAnsi"/>
          <w:sz w:val="24"/>
          <w:szCs w:val="24"/>
        </w:rPr>
        <w:t>31</w:t>
      </w:r>
      <w:r w:rsidR="00730C59" w:rsidRPr="00C977DD">
        <w:rPr>
          <w:rFonts w:asciiTheme="majorHAnsi" w:hAnsiTheme="majorHAnsi" w:cstheme="minorHAnsi"/>
          <w:sz w:val="24"/>
          <w:szCs w:val="24"/>
          <w:vertAlign w:val="superscript"/>
        </w:rPr>
        <w:t>st</w:t>
      </w:r>
      <w:r w:rsidR="00730C59">
        <w:rPr>
          <w:rFonts w:asciiTheme="majorHAnsi" w:hAnsiTheme="majorHAnsi" w:cstheme="minorHAnsi"/>
          <w:sz w:val="24"/>
          <w:szCs w:val="24"/>
        </w:rPr>
        <w:t>March 2020.</w:t>
      </w:r>
      <w:r w:rsidR="003A1E50">
        <w:rPr>
          <w:rFonts w:asciiTheme="majorHAnsi" w:hAnsiTheme="majorHAnsi" w:cstheme="minorHAnsi"/>
          <w:sz w:val="24"/>
          <w:szCs w:val="24"/>
        </w:rPr>
        <w:t xml:space="preserve"> However, the</w:t>
      </w:r>
      <w:r w:rsidR="00DA2C02" w:rsidRPr="00C977DD">
        <w:rPr>
          <w:rFonts w:asciiTheme="majorHAnsi" w:hAnsiTheme="majorHAnsi" w:cstheme="minorHAnsi"/>
          <w:sz w:val="24"/>
          <w:szCs w:val="24"/>
        </w:rPr>
        <w:t xml:space="preserve"> government has not given </w:t>
      </w:r>
      <w:r w:rsidR="00057650">
        <w:rPr>
          <w:rFonts w:asciiTheme="majorHAnsi" w:hAnsiTheme="majorHAnsi" w:cstheme="minorHAnsi"/>
          <w:sz w:val="24"/>
          <w:szCs w:val="24"/>
        </w:rPr>
        <w:t xml:space="preserve">any </w:t>
      </w:r>
      <w:r w:rsidR="00DA2C02" w:rsidRPr="00C977DD">
        <w:rPr>
          <w:rFonts w:asciiTheme="majorHAnsi" w:hAnsiTheme="majorHAnsi" w:cstheme="minorHAnsi"/>
          <w:sz w:val="24"/>
          <w:szCs w:val="24"/>
        </w:rPr>
        <w:t xml:space="preserve">opportunity to </w:t>
      </w:r>
      <w:r w:rsidR="00C977DD">
        <w:rPr>
          <w:rFonts w:asciiTheme="majorHAnsi" w:hAnsiTheme="majorHAnsi" w:cstheme="minorHAnsi"/>
          <w:sz w:val="24"/>
          <w:szCs w:val="24"/>
        </w:rPr>
        <w:t>the</w:t>
      </w:r>
      <w:r w:rsidR="00161F0A" w:rsidRPr="00C977DD">
        <w:rPr>
          <w:rFonts w:asciiTheme="majorHAnsi" w:hAnsiTheme="majorHAnsi" w:cstheme="minorHAnsi"/>
          <w:sz w:val="24"/>
          <w:szCs w:val="24"/>
        </w:rPr>
        <w:t xml:space="preserve"> persons who </w:t>
      </w:r>
      <w:r w:rsidR="00303679" w:rsidRPr="00C977DD">
        <w:rPr>
          <w:rFonts w:asciiTheme="majorHAnsi" w:hAnsiTheme="majorHAnsi" w:cstheme="minorHAnsi"/>
          <w:sz w:val="24"/>
          <w:szCs w:val="24"/>
        </w:rPr>
        <w:t>were not able to file TRAN 1 due to various other reasons</w:t>
      </w:r>
      <w:r w:rsidR="00DA2C02" w:rsidRPr="00C977DD">
        <w:rPr>
          <w:rFonts w:asciiTheme="majorHAnsi" w:hAnsiTheme="majorHAnsi" w:cstheme="minorHAnsi"/>
          <w:sz w:val="24"/>
          <w:szCs w:val="24"/>
        </w:rPr>
        <w:t>, such as:-</w:t>
      </w:r>
    </w:p>
    <w:p w14:paraId="25641471" w14:textId="77777777" w:rsidR="00DA2C02" w:rsidRPr="00C977DD" w:rsidRDefault="00DA2C02" w:rsidP="00DA2C02">
      <w:pPr>
        <w:pStyle w:val="ListParagraph"/>
        <w:numPr>
          <w:ilvl w:val="0"/>
          <w:numId w:val="2"/>
        </w:numPr>
        <w:ind w:left="1080" w:hanging="720"/>
        <w:jc w:val="both"/>
        <w:rPr>
          <w:rFonts w:asciiTheme="majorHAnsi" w:hAnsiTheme="majorHAnsi" w:cstheme="minorHAnsi"/>
          <w:sz w:val="24"/>
          <w:szCs w:val="24"/>
        </w:rPr>
      </w:pPr>
      <w:r w:rsidRPr="00C977DD">
        <w:rPr>
          <w:rFonts w:asciiTheme="majorHAnsi" w:hAnsiTheme="majorHAnsi" w:cstheme="minorHAnsi"/>
          <w:sz w:val="24"/>
          <w:szCs w:val="24"/>
        </w:rPr>
        <w:t>Difficulty in understanding the various columns provided in the Transition Form.</w:t>
      </w:r>
    </w:p>
    <w:p w14:paraId="0B70ED93" w14:textId="77777777" w:rsidR="00DA2C02" w:rsidRPr="00C977DD" w:rsidRDefault="00DA2C02" w:rsidP="00DA2C02">
      <w:pPr>
        <w:pStyle w:val="ListParagraph"/>
        <w:numPr>
          <w:ilvl w:val="0"/>
          <w:numId w:val="2"/>
        </w:numPr>
        <w:ind w:left="1080" w:hanging="720"/>
        <w:jc w:val="both"/>
        <w:rPr>
          <w:rFonts w:asciiTheme="majorHAnsi" w:hAnsiTheme="majorHAnsi" w:cstheme="minorHAnsi"/>
          <w:sz w:val="24"/>
          <w:szCs w:val="24"/>
        </w:rPr>
      </w:pPr>
      <w:r w:rsidRPr="00C977DD">
        <w:rPr>
          <w:rFonts w:asciiTheme="majorHAnsi" w:hAnsiTheme="majorHAnsi" w:cstheme="minorHAnsi"/>
          <w:sz w:val="24"/>
          <w:szCs w:val="24"/>
        </w:rPr>
        <w:t>Attempted filing of TRAN 1 but no evidence to prove the same.</w:t>
      </w:r>
    </w:p>
    <w:p w14:paraId="0656CE90" w14:textId="77777777" w:rsidR="00DA2C02" w:rsidRPr="00C977DD" w:rsidRDefault="00DA2C02" w:rsidP="00C977DD">
      <w:pPr>
        <w:pStyle w:val="ListParagraph"/>
        <w:numPr>
          <w:ilvl w:val="0"/>
          <w:numId w:val="2"/>
        </w:numPr>
        <w:ind w:left="1080" w:hanging="720"/>
        <w:jc w:val="both"/>
        <w:rPr>
          <w:rFonts w:asciiTheme="majorHAnsi" w:hAnsiTheme="majorHAnsi" w:cstheme="minorHAnsi"/>
          <w:sz w:val="24"/>
          <w:szCs w:val="24"/>
        </w:rPr>
      </w:pPr>
      <w:r w:rsidRPr="00C977DD">
        <w:rPr>
          <w:rFonts w:asciiTheme="majorHAnsi" w:hAnsiTheme="majorHAnsi" w:cstheme="minorHAnsi"/>
          <w:sz w:val="24"/>
          <w:szCs w:val="24"/>
        </w:rPr>
        <w:t>Unaware of the procedures and the due dates in filing TRAN 1.</w:t>
      </w:r>
    </w:p>
    <w:p w14:paraId="4B3F1998" w14:textId="77777777" w:rsidR="00752F24" w:rsidRPr="00C977DD" w:rsidRDefault="00DA2C02" w:rsidP="00A43B62">
      <w:pPr>
        <w:jc w:val="both"/>
        <w:rPr>
          <w:rFonts w:asciiTheme="majorHAnsi" w:hAnsiTheme="majorHAnsi" w:cstheme="minorHAnsi"/>
          <w:sz w:val="24"/>
          <w:szCs w:val="24"/>
        </w:rPr>
      </w:pPr>
      <w:r w:rsidRPr="00C977DD">
        <w:rPr>
          <w:rFonts w:asciiTheme="majorHAnsi" w:hAnsiTheme="majorHAnsi" w:cstheme="minorHAnsi"/>
          <w:sz w:val="24"/>
          <w:szCs w:val="24"/>
        </w:rPr>
        <w:t xml:space="preserve">All the above mentioned categories of tax payers do not have the option to carry forward their eligible </w:t>
      </w:r>
      <w:r w:rsidR="00752F24" w:rsidRPr="00C977DD">
        <w:rPr>
          <w:rFonts w:asciiTheme="majorHAnsi" w:hAnsiTheme="majorHAnsi" w:cstheme="minorHAnsi"/>
          <w:sz w:val="24"/>
          <w:szCs w:val="24"/>
        </w:rPr>
        <w:t xml:space="preserve">credit and </w:t>
      </w:r>
      <w:r w:rsidR="003A1E50">
        <w:rPr>
          <w:rFonts w:asciiTheme="majorHAnsi" w:hAnsiTheme="majorHAnsi" w:cstheme="minorHAnsi"/>
          <w:sz w:val="24"/>
          <w:szCs w:val="24"/>
        </w:rPr>
        <w:t xml:space="preserve">it </w:t>
      </w:r>
      <w:r w:rsidR="00752F24" w:rsidRPr="00C977DD">
        <w:rPr>
          <w:rFonts w:asciiTheme="majorHAnsi" w:hAnsiTheme="majorHAnsi" w:cstheme="minorHAnsi"/>
          <w:sz w:val="24"/>
          <w:szCs w:val="24"/>
        </w:rPr>
        <w:t xml:space="preserve">seriously </w:t>
      </w:r>
      <w:r w:rsidR="001B0A96" w:rsidRPr="00C977DD">
        <w:rPr>
          <w:rFonts w:asciiTheme="majorHAnsi" w:hAnsiTheme="majorHAnsi" w:cstheme="minorHAnsi"/>
          <w:sz w:val="24"/>
          <w:szCs w:val="24"/>
        </w:rPr>
        <w:t>affects</w:t>
      </w:r>
      <w:r w:rsidR="00752F24" w:rsidRPr="00C977DD">
        <w:rPr>
          <w:rFonts w:asciiTheme="majorHAnsi" w:hAnsiTheme="majorHAnsi" w:cstheme="minorHAnsi"/>
          <w:sz w:val="24"/>
          <w:szCs w:val="24"/>
        </w:rPr>
        <w:t xml:space="preserve"> their </w:t>
      </w:r>
      <w:r w:rsidR="003A1E50">
        <w:rPr>
          <w:rFonts w:asciiTheme="majorHAnsi" w:hAnsiTheme="majorHAnsi" w:cstheme="minorHAnsi"/>
          <w:sz w:val="24"/>
          <w:szCs w:val="24"/>
        </w:rPr>
        <w:t xml:space="preserve">cash </w:t>
      </w:r>
      <w:r w:rsidR="00752F24" w:rsidRPr="00C977DD">
        <w:rPr>
          <w:rFonts w:asciiTheme="majorHAnsi" w:hAnsiTheme="majorHAnsi" w:cstheme="minorHAnsi"/>
          <w:sz w:val="24"/>
          <w:szCs w:val="24"/>
        </w:rPr>
        <w:t>flow</w:t>
      </w:r>
      <w:r w:rsidR="003A1E50">
        <w:rPr>
          <w:rFonts w:asciiTheme="majorHAnsi" w:hAnsiTheme="majorHAnsi" w:cstheme="minorHAnsi"/>
          <w:sz w:val="24"/>
          <w:szCs w:val="24"/>
        </w:rPr>
        <w:t>. F</w:t>
      </w:r>
      <w:r w:rsidR="00752F24" w:rsidRPr="00C977DD">
        <w:rPr>
          <w:rFonts w:asciiTheme="majorHAnsi" w:hAnsiTheme="majorHAnsi" w:cstheme="minorHAnsi"/>
          <w:sz w:val="24"/>
          <w:szCs w:val="24"/>
        </w:rPr>
        <w:t xml:space="preserve">urther the liability to pay GST on sale of stock carried from the previous tax regime without corresponding input tax credit </w:t>
      </w:r>
      <w:proofErr w:type="spellStart"/>
      <w:r w:rsidR="00752F24" w:rsidRPr="00C977DD">
        <w:rPr>
          <w:rFonts w:asciiTheme="majorHAnsi" w:hAnsiTheme="majorHAnsi" w:cstheme="minorHAnsi"/>
          <w:sz w:val="24"/>
          <w:szCs w:val="24"/>
        </w:rPr>
        <w:t>l</w:t>
      </w:r>
      <w:r w:rsidR="00057650">
        <w:rPr>
          <w:rFonts w:asciiTheme="majorHAnsi" w:hAnsiTheme="majorHAnsi" w:cstheme="minorHAnsi"/>
          <w:sz w:val="24"/>
          <w:szCs w:val="24"/>
        </w:rPr>
        <w:t>led</w:t>
      </w:r>
      <w:proofErr w:type="spellEnd"/>
      <w:r w:rsidR="00057650">
        <w:rPr>
          <w:rFonts w:asciiTheme="majorHAnsi" w:hAnsiTheme="majorHAnsi" w:cstheme="minorHAnsi"/>
          <w:sz w:val="24"/>
          <w:szCs w:val="24"/>
        </w:rPr>
        <w:t xml:space="preserve"> </w:t>
      </w:r>
      <w:r w:rsidR="00752F24" w:rsidRPr="00C977DD">
        <w:rPr>
          <w:rFonts w:asciiTheme="majorHAnsi" w:hAnsiTheme="majorHAnsi" w:cstheme="minorHAnsi"/>
          <w:sz w:val="24"/>
          <w:szCs w:val="24"/>
        </w:rPr>
        <w:t>to double taxation</w:t>
      </w:r>
      <w:r w:rsidR="003A1E50">
        <w:rPr>
          <w:rFonts w:asciiTheme="majorHAnsi" w:hAnsiTheme="majorHAnsi" w:cstheme="minorHAnsi"/>
          <w:sz w:val="24"/>
          <w:szCs w:val="24"/>
        </w:rPr>
        <w:t xml:space="preserve"> and it </w:t>
      </w:r>
      <w:r w:rsidR="001B0A96">
        <w:rPr>
          <w:rFonts w:asciiTheme="majorHAnsi" w:hAnsiTheme="majorHAnsi" w:cstheme="minorHAnsi"/>
          <w:sz w:val="24"/>
          <w:szCs w:val="24"/>
        </w:rPr>
        <w:t xml:space="preserve">defeats </w:t>
      </w:r>
      <w:r w:rsidR="001B0A96" w:rsidRPr="00C977DD">
        <w:rPr>
          <w:rFonts w:asciiTheme="majorHAnsi" w:hAnsiTheme="majorHAnsi" w:cstheme="minorHAnsi"/>
          <w:sz w:val="24"/>
          <w:szCs w:val="24"/>
        </w:rPr>
        <w:t>the</w:t>
      </w:r>
      <w:r w:rsidR="00752F24" w:rsidRPr="00C977DD">
        <w:rPr>
          <w:rFonts w:asciiTheme="majorHAnsi" w:hAnsiTheme="majorHAnsi" w:cstheme="minorHAnsi"/>
          <w:sz w:val="24"/>
          <w:szCs w:val="24"/>
        </w:rPr>
        <w:t xml:space="preserve"> </w:t>
      </w:r>
      <w:r w:rsidR="00057650">
        <w:rPr>
          <w:rFonts w:asciiTheme="majorHAnsi" w:hAnsiTheme="majorHAnsi" w:cstheme="minorHAnsi"/>
          <w:sz w:val="24"/>
          <w:szCs w:val="24"/>
        </w:rPr>
        <w:t xml:space="preserve">very </w:t>
      </w:r>
      <w:r w:rsidR="00A609C9" w:rsidRPr="00C977DD">
        <w:rPr>
          <w:rFonts w:asciiTheme="majorHAnsi" w:hAnsiTheme="majorHAnsi" w:cstheme="minorHAnsi"/>
          <w:sz w:val="24"/>
          <w:szCs w:val="24"/>
        </w:rPr>
        <w:t xml:space="preserve">purpose of </w:t>
      </w:r>
      <w:r w:rsidR="003A1E50">
        <w:rPr>
          <w:rFonts w:asciiTheme="majorHAnsi" w:hAnsiTheme="majorHAnsi" w:cstheme="minorHAnsi"/>
          <w:sz w:val="24"/>
          <w:szCs w:val="24"/>
        </w:rPr>
        <w:t xml:space="preserve">seamless flow of </w:t>
      </w:r>
      <w:r w:rsidR="001B0A96">
        <w:rPr>
          <w:rFonts w:asciiTheme="majorHAnsi" w:hAnsiTheme="majorHAnsi" w:cstheme="minorHAnsi"/>
          <w:sz w:val="24"/>
          <w:szCs w:val="24"/>
        </w:rPr>
        <w:t>credit under</w:t>
      </w:r>
      <w:r w:rsidR="003A1E50">
        <w:rPr>
          <w:rFonts w:asciiTheme="majorHAnsi" w:hAnsiTheme="majorHAnsi" w:cstheme="minorHAnsi"/>
          <w:sz w:val="24"/>
          <w:szCs w:val="24"/>
        </w:rPr>
        <w:t xml:space="preserve"> </w:t>
      </w:r>
      <w:r w:rsidR="00A609C9" w:rsidRPr="00C977DD">
        <w:rPr>
          <w:rFonts w:asciiTheme="majorHAnsi" w:hAnsiTheme="majorHAnsi" w:cstheme="minorHAnsi"/>
          <w:sz w:val="24"/>
          <w:szCs w:val="24"/>
        </w:rPr>
        <w:t>GST regime.</w:t>
      </w:r>
    </w:p>
    <w:p w14:paraId="4EC5A74C" w14:textId="77777777" w:rsidR="003A1E50" w:rsidRDefault="00057650" w:rsidP="00A43B62">
      <w:pPr>
        <w:jc w:val="both"/>
        <w:rPr>
          <w:rFonts w:asciiTheme="majorHAnsi" w:hAnsiTheme="majorHAnsi" w:cstheme="minorHAnsi"/>
          <w:sz w:val="24"/>
          <w:szCs w:val="24"/>
        </w:rPr>
      </w:pPr>
      <w:r>
        <w:rPr>
          <w:rFonts w:asciiTheme="majorHAnsi" w:hAnsiTheme="majorHAnsi" w:cstheme="minorHAnsi"/>
          <w:sz w:val="24"/>
          <w:szCs w:val="24"/>
        </w:rPr>
        <w:t xml:space="preserve">3. </w:t>
      </w:r>
      <w:r w:rsidR="003A1E50">
        <w:rPr>
          <w:rFonts w:asciiTheme="majorHAnsi" w:hAnsiTheme="majorHAnsi" w:cstheme="minorHAnsi"/>
          <w:sz w:val="24"/>
          <w:szCs w:val="24"/>
        </w:rPr>
        <w:t>In a case pertaining to</w:t>
      </w:r>
      <w:r>
        <w:rPr>
          <w:rFonts w:asciiTheme="majorHAnsi" w:hAnsiTheme="majorHAnsi" w:cstheme="minorHAnsi"/>
          <w:sz w:val="24"/>
          <w:szCs w:val="24"/>
        </w:rPr>
        <w:t xml:space="preserve"> </w:t>
      </w:r>
      <w:proofErr w:type="spellStart"/>
      <w:r w:rsidR="00AC4767" w:rsidRPr="00AC4767">
        <w:rPr>
          <w:rFonts w:asciiTheme="majorHAnsi" w:hAnsiTheme="majorHAnsi" w:cstheme="minorHAnsi"/>
          <w:b/>
          <w:sz w:val="24"/>
          <w:szCs w:val="24"/>
        </w:rPr>
        <w:t>Adfert</w:t>
      </w:r>
      <w:proofErr w:type="spellEnd"/>
      <w:r w:rsidR="00AC4767" w:rsidRPr="00AC4767">
        <w:rPr>
          <w:rFonts w:asciiTheme="majorHAnsi" w:hAnsiTheme="majorHAnsi" w:cstheme="minorHAnsi"/>
          <w:b/>
          <w:sz w:val="24"/>
          <w:szCs w:val="24"/>
        </w:rPr>
        <w:t xml:space="preserve"> Technologies Ltd </w:t>
      </w:r>
      <w:r w:rsidR="00AC4767">
        <w:rPr>
          <w:rFonts w:asciiTheme="majorHAnsi" w:hAnsiTheme="majorHAnsi" w:cstheme="minorHAnsi"/>
          <w:sz w:val="24"/>
          <w:szCs w:val="24"/>
        </w:rPr>
        <w:t>as reported in 2019 (11) TMI 282</w:t>
      </w:r>
      <w:r>
        <w:rPr>
          <w:rFonts w:asciiTheme="majorHAnsi" w:hAnsiTheme="majorHAnsi" w:cstheme="minorHAnsi"/>
          <w:sz w:val="24"/>
          <w:szCs w:val="24"/>
        </w:rPr>
        <w:t>,</w:t>
      </w:r>
      <w:r w:rsidR="00AC4767">
        <w:rPr>
          <w:rFonts w:asciiTheme="majorHAnsi" w:hAnsiTheme="majorHAnsi" w:cstheme="minorHAnsi"/>
          <w:sz w:val="24"/>
          <w:szCs w:val="24"/>
        </w:rPr>
        <w:t xml:space="preserve"> the Punjab and Haryana </w:t>
      </w:r>
      <w:r w:rsidR="003A1E50">
        <w:rPr>
          <w:rFonts w:asciiTheme="majorHAnsi" w:hAnsiTheme="majorHAnsi" w:cstheme="minorHAnsi"/>
          <w:sz w:val="24"/>
          <w:szCs w:val="24"/>
        </w:rPr>
        <w:t xml:space="preserve">High Court has </w:t>
      </w:r>
      <w:r>
        <w:rPr>
          <w:rFonts w:asciiTheme="majorHAnsi" w:hAnsiTheme="majorHAnsi" w:cstheme="minorHAnsi"/>
          <w:sz w:val="24"/>
          <w:szCs w:val="24"/>
        </w:rPr>
        <w:t xml:space="preserve">held </w:t>
      </w:r>
      <w:r w:rsidR="00F74C72">
        <w:rPr>
          <w:rFonts w:asciiTheme="majorHAnsi" w:hAnsiTheme="majorHAnsi" w:cstheme="minorHAnsi"/>
          <w:sz w:val="24"/>
          <w:szCs w:val="24"/>
        </w:rPr>
        <w:t xml:space="preserve">as under:- </w:t>
      </w:r>
    </w:p>
    <w:p w14:paraId="0FAFE89A" w14:textId="77777777" w:rsidR="00803569" w:rsidRDefault="00AC4767" w:rsidP="00A43B62">
      <w:pPr>
        <w:jc w:val="both"/>
        <w:rPr>
          <w:rFonts w:asciiTheme="majorHAnsi" w:hAnsiTheme="majorHAnsi" w:cstheme="minorHAnsi"/>
          <w:sz w:val="24"/>
          <w:szCs w:val="24"/>
        </w:rPr>
      </w:pPr>
      <w:r>
        <w:rPr>
          <w:rFonts w:asciiTheme="majorHAnsi" w:hAnsiTheme="majorHAnsi" w:cstheme="minorHAnsi"/>
          <w:sz w:val="24"/>
          <w:szCs w:val="24"/>
        </w:rPr>
        <w:t>“The</w:t>
      </w:r>
      <w:r w:rsidR="00703E1E" w:rsidRPr="00C977DD">
        <w:rPr>
          <w:rFonts w:asciiTheme="majorHAnsi" w:hAnsiTheme="majorHAnsi" w:cstheme="minorHAnsi"/>
          <w:sz w:val="24"/>
          <w:szCs w:val="24"/>
        </w:rPr>
        <w:t xml:space="preserve"> implementation undertaken in the</w:t>
      </w:r>
      <w:r w:rsidR="00057650">
        <w:rPr>
          <w:rFonts w:asciiTheme="majorHAnsi" w:hAnsiTheme="majorHAnsi" w:cstheme="minorHAnsi"/>
          <w:sz w:val="24"/>
          <w:szCs w:val="24"/>
        </w:rPr>
        <w:t xml:space="preserve"> </w:t>
      </w:r>
      <w:r w:rsidR="00703E1E" w:rsidRPr="00C977DD">
        <w:rPr>
          <w:rFonts w:asciiTheme="majorHAnsi" w:hAnsiTheme="majorHAnsi" w:cstheme="minorHAnsi"/>
          <w:sz w:val="24"/>
          <w:szCs w:val="24"/>
        </w:rPr>
        <w:t>new GST regime</w:t>
      </w:r>
      <w:r w:rsidR="00AF4015" w:rsidRPr="00C977DD">
        <w:rPr>
          <w:rFonts w:asciiTheme="majorHAnsi" w:hAnsiTheme="majorHAnsi" w:cstheme="minorHAnsi"/>
          <w:sz w:val="24"/>
          <w:szCs w:val="24"/>
        </w:rPr>
        <w:t xml:space="preserve"> is </w:t>
      </w:r>
      <w:r w:rsidR="00703E1E" w:rsidRPr="00C977DD">
        <w:rPr>
          <w:rFonts w:asciiTheme="majorHAnsi" w:hAnsiTheme="majorHAnsi" w:cstheme="minorHAnsi"/>
          <w:sz w:val="24"/>
          <w:szCs w:val="24"/>
        </w:rPr>
        <w:t xml:space="preserve">completely electronic based and the returns filed therein are a system generated </w:t>
      </w:r>
      <w:r w:rsidR="00C977DD" w:rsidRPr="00C977DD">
        <w:rPr>
          <w:rFonts w:asciiTheme="majorHAnsi" w:hAnsiTheme="majorHAnsi" w:cstheme="minorHAnsi"/>
          <w:sz w:val="24"/>
          <w:szCs w:val="24"/>
        </w:rPr>
        <w:t>one</w:t>
      </w:r>
      <w:r w:rsidR="00C977DD">
        <w:rPr>
          <w:rFonts w:asciiTheme="majorHAnsi" w:hAnsiTheme="majorHAnsi" w:cstheme="minorHAnsi"/>
          <w:sz w:val="24"/>
          <w:szCs w:val="24"/>
        </w:rPr>
        <w:t>; most of the people in</w:t>
      </w:r>
      <w:r w:rsidR="00A609C9" w:rsidRPr="00C977DD">
        <w:rPr>
          <w:rFonts w:asciiTheme="majorHAnsi" w:hAnsiTheme="majorHAnsi" w:cstheme="minorHAnsi"/>
          <w:sz w:val="24"/>
          <w:szCs w:val="24"/>
        </w:rPr>
        <w:t xml:space="preserve"> India are not well acquain</w:t>
      </w:r>
      <w:r w:rsidR="00C977DD">
        <w:rPr>
          <w:rFonts w:asciiTheme="majorHAnsi" w:hAnsiTheme="majorHAnsi" w:cstheme="minorHAnsi"/>
          <w:sz w:val="24"/>
          <w:szCs w:val="24"/>
        </w:rPr>
        <w:t xml:space="preserve">ted with electronic mechanisms. </w:t>
      </w:r>
      <w:r w:rsidR="00703E1E" w:rsidRPr="00C977DD">
        <w:rPr>
          <w:rFonts w:asciiTheme="majorHAnsi" w:hAnsiTheme="majorHAnsi" w:cstheme="minorHAnsi"/>
          <w:sz w:val="24"/>
          <w:szCs w:val="24"/>
        </w:rPr>
        <w:t>The GST regime</w:t>
      </w:r>
      <w:r w:rsidR="00803569" w:rsidRPr="00C977DD">
        <w:rPr>
          <w:rFonts w:asciiTheme="majorHAnsi" w:hAnsiTheme="majorHAnsi" w:cstheme="minorHAnsi"/>
          <w:sz w:val="24"/>
          <w:szCs w:val="24"/>
        </w:rPr>
        <w:t xml:space="preserve"> still being in the trial and error phase</w:t>
      </w:r>
      <w:r w:rsidR="00703E1E" w:rsidRPr="00C977DD">
        <w:rPr>
          <w:rFonts w:asciiTheme="majorHAnsi" w:hAnsiTheme="majorHAnsi" w:cstheme="minorHAnsi"/>
          <w:sz w:val="24"/>
          <w:szCs w:val="24"/>
        </w:rPr>
        <w:t xml:space="preserve"> and the IT platform through which it works being new, it may not be justifiable to </w:t>
      </w:r>
      <w:r w:rsidR="00703E1E" w:rsidRPr="00C977DD">
        <w:rPr>
          <w:rFonts w:asciiTheme="majorHAnsi" w:hAnsiTheme="majorHAnsi" w:cstheme="minorHAnsi"/>
          <w:sz w:val="24"/>
          <w:szCs w:val="24"/>
        </w:rPr>
        <w:lastRenderedPageBreak/>
        <w:t>expect all the individuals having their business under GST registration to be aware of</w:t>
      </w:r>
      <w:r w:rsidR="00960967" w:rsidRPr="00C977DD">
        <w:rPr>
          <w:rFonts w:asciiTheme="majorHAnsi" w:hAnsiTheme="majorHAnsi" w:cstheme="minorHAnsi"/>
          <w:sz w:val="24"/>
          <w:szCs w:val="24"/>
        </w:rPr>
        <w:t xml:space="preserve"> the </w:t>
      </w:r>
      <w:r w:rsidR="00703E1E" w:rsidRPr="00C977DD">
        <w:rPr>
          <w:rFonts w:asciiTheme="majorHAnsi" w:hAnsiTheme="majorHAnsi" w:cstheme="minorHAnsi"/>
          <w:sz w:val="24"/>
          <w:szCs w:val="24"/>
        </w:rPr>
        <w:t>due dates and the procedures followed in carrying forward the un availed credit</w:t>
      </w:r>
      <w:r w:rsidR="00AF4015" w:rsidRPr="00C977DD">
        <w:rPr>
          <w:rFonts w:asciiTheme="majorHAnsi" w:hAnsiTheme="majorHAnsi" w:cstheme="minorHAnsi"/>
          <w:sz w:val="24"/>
          <w:szCs w:val="24"/>
        </w:rPr>
        <w:t xml:space="preserve"> within such short span of 90 days from the appointed day</w:t>
      </w:r>
      <w:r w:rsidR="00703E1E" w:rsidRPr="00C977DD">
        <w:rPr>
          <w:rFonts w:asciiTheme="majorHAnsi" w:hAnsiTheme="majorHAnsi" w:cstheme="minorHAnsi"/>
          <w:sz w:val="24"/>
          <w:szCs w:val="24"/>
        </w:rPr>
        <w:t>.</w:t>
      </w:r>
      <w:r w:rsidR="00AF4015" w:rsidRPr="00C977DD">
        <w:rPr>
          <w:rFonts w:asciiTheme="majorHAnsi" w:hAnsiTheme="majorHAnsi" w:cstheme="minorHAnsi"/>
          <w:sz w:val="24"/>
          <w:szCs w:val="24"/>
        </w:rPr>
        <w:t>Further, t</w:t>
      </w:r>
      <w:r w:rsidR="00803569" w:rsidRPr="00C977DD">
        <w:rPr>
          <w:rFonts w:asciiTheme="majorHAnsi" w:hAnsiTheme="majorHAnsi" w:cstheme="minorHAnsi"/>
          <w:sz w:val="24"/>
          <w:szCs w:val="24"/>
        </w:rPr>
        <w:t xml:space="preserve">he due </w:t>
      </w:r>
      <w:r w:rsidR="00AF4015" w:rsidRPr="00C977DD">
        <w:rPr>
          <w:rFonts w:asciiTheme="majorHAnsi" w:hAnsiTheme="majorHAnsi" w:cstheme="minorHAnsi"/>
          <w:sz w:val="24"/>
          <w:szCs w:val="24"/>
        </w:rPr>
        <w:t>date contemplated under the law</w:t>
      </w:r>
      <w:r w:rsidR="00803569" w:rsidRPr="00C977DD">
        <w:rPr>
          <w:rFonts w:asciiTheme="majorHAnsi" w:hAnsiTheme="majorHAnsi" w:cstheme="minorHAnsi"/>
          <w:sz w:val="24"/>
          <w:szCs w:val="24"/>
        </w:rPr>
        <w:t xml:space="preserve"> to claim the transitional credit is procedural in nature. Even , under the Pre-GST regime, it is a settled legal position that substantive input credits cannot be denied or altered on account of procedural</w:t>
      </w:r>
      <w:r w:rsidR="00AF4015" w:rsidRPr="00C977DD">
        <w:rPr>
          <w:rFonts w:asciiTheme="majorHAnsi" w:hAnsiTheme="majorHAnsi" w:cstheme="minorHAnsi"/>
          <w:sz w:val="24"/>
          <w:szCs w:val="24"/>
        </w:rPr>
        <w:t xml:space="preserve"> grounds. </w:t>
      </w:r>
      <w:r w:rsidR="007B5481">
        <w:rPr>
          <w:rFonts w:asciiTheme="majorHAnsi" w:hAnsiTheme="majorHAnsi" w:cstheme="minorHAnsi"/>
          <w:sz w:val="24"/>
          <w:szCs w:val="24"/>
        </w:rPr>
        <w:t>Under such circumstances, liberal view has to be taken by the government while implementing this simple one indirect tax law instead of suffocating the tax payer with lot of procedures.</w:t>
      </w:r>
      <w:r w:rsidR="007B5481" w:rsidRPr="00C977DD">
        <w:rPr>
          <w:rFonts w:asciiTheme="majorHAnsi" w:hAnsiTheme="majorHAnsi" w:cstheme="minorHAnsi"/>
          <w:sz w:val="24"/>
          <w:szCs w:val="24"/>
        </w:rPr>
        <w:t>One of the progressive ideal of G</w:t>
      </w:r>
      <w:r w:rsidR="007B5481">
        <w:rPr>
          <w:rFonts w:asciiTheme="majorHAnsi" w:hAnsiTheme="majorHAnsi" w:cstheme="minorHAnsi"/>
          <w:sz w:val="24"/>
          <w:szCs w:val="24"/>
        </w:rPr>
        <w:t xml:space="preserve">ST is to avoid cascading taxes, if the legitimately accrued credits are not been provided to the assesse for the mere reason that they have failed to file their declaration within the due date is completely unfair. </w:t>
      </w:r>
    </w:p>
    <w:p w14:paraId="6A7B1530" w14:textId="77777777" w:rsidR="00F6551E" w:rsidRPr="00F6551E" w:rsidRDefault="00F6551E" w:rsidP="00A43B62">
      <w:pPr>
        <w:jc w:val="both"/>
        <w:rPr>
          <w:rFonts w:asciiTheme="majorHAnsi" w:hAnsiTheme="majorHAnsi" w:cstheme="minorHAnsi"/>
          <w:b/>
          <w:sz w:val="24"/>
          <w:szCs w:val="24"/>
        </w:rPr>
      </w:pPr>
      <w:r>
        <w:rPr>
          <w:rFonts w:asciiTheme="majorHAnsi" w:hAnsiTheme="majorHAnsi" w:cstheme="minorHAnsi"/>
          <w:sz w:val="24"/>
          <w:szCs w:val="24"/>
        </w:rPr>
        <w:t xml:space="preserve">Relying on the decision mentioned supra, the Hon’ble High Court of Punjab and Haryana in the case of </w:t>
      </w:r>
      <w:r w:rsidRPr="00F6551E">
        <w:rPr>
          <w:rStyle w:val="Strong"/>
          <w:rFonts w:asciiTheme="majorHAnsi" w:hAnsiTheme="majorHAnsi" w:cs="Arial"/>
          <w:sz w:val="24"/>
          <w:szCs w:val="24"/>
          <w:shd w:val="clear" w:color="auto" w:fill="FFFFFF"/>
        </w:rPr>
        <w:t>Hans Raj Sons</w:t>
      </w:r>
      <w:r>
        <w:rPr>
          <w:rStyle w:val="Strong"/>
          <w:rFonts w:asciiTheme="majorHAnsi" w:hAnsiTheme="majorHAnsi" w:cs="Arial"/>
          <w:sz w:val="24"/>
          <w:szCs w:val="24"/>
          <w:shd w:val="clear" w:color="auto" w:fill="FFFFFF"/>
        </w:rPr>
        <w:t xml:space="preserve"> </w:t>
      </w:r>
      <w:r w:rsidRPr="00F6551E">
        <w:rPr>
          <w:rStyle w:val="Strong"/>
          <w:rFonts w:asciiTheme="majorHAnsi" w:hAnsiTheme="majorHAnsi" w:cs="Arial"/>
          <w:b w:val="0"/>
          <w:sz w:val="24"/>
          <w:szCs w:val="24"/>
          <w:shd w:val="clear" w:color="auto" w:fill="FFFFFF"/>
        </w:rPr>
        <w:t>reported in</w:t>
      </w:r>
      <w:r>
        <w:rPr>
          <w:rStyle w:val="Strong"/>
          <w:rFonts w:asciiTheme="majorHAnsi" w:hAnsiTheme="majorHAnsi" w:cs="Arial"/>
          <w:sz w:val="24"/>
          <w:szCs w:val="24"/>
          <w:shd w:val="clear" w:color="auto" w:fill="FFFFFF"/>
        </w:rPr>
        <w:t xml:space="preserve"> </w:t>
      </w:r>
      <w:r w:rsidRPr="00F6551E">
        <w:rPr>
          <w:rStyle w:val="Strong"/>
          <w:rFonts w:asciiTheme="majorHAnsi" w:hAnsiTheme="majorHAnsi" w:cs="Arial"/>
          <w:b w:val="0"/>
          <w:sz w:val="24"/>
          <w:szCs w:val="24"/>
          <w:shd w:val="clear" w:color="auto" w:fill="FFFFFF"/>
        </w:rPr>
        <w:t>2019-TIOL-2891-HC-P&amp;H-GST</w:t>
      </w:r>
      <w:r>
        <w:rPr>
          <w:rStyle w:val="Strong"/>
          <w:rFonts w:asciiTheme="majorHAnsi" w:hAnsiTheme="majorHAnsi" w:cs="Arial"/>
          <w:b w:val="0"/>
          <w:sz w:val="24"/>
          <w:szCs w:val="24"/>
          <w:shd w:val="clear" w:color="auto" w:fill="FFFFFF"/>
        </w:rPr>
        <w:t xml:space="preserve"> allowed the petitioner to file their form Tran-1 by December, 31</w:t>
      </w:r>
      <w:r w:rsidRPr="00F6551E">
        <w:rPr>
          <w:rStyle w:val="Strong"/>
          <w:rFonts w:asciiTheme="majorHAnsi" w:hAnsiTheme="majorHAnsi" w:cs="Arial"/>
          <w:b w:val="0"/>
          <w:sz w:val="24"/>
          <w:szCs w:val="24"/>
          <w:shd w:val="clear" w:color="auto" w:fill="FFFFFF"/>
          <w:vertAlign w:val="superscript"/>
        </w:rPr>
        <w:t>st</w:t>
      </w:r>
      <w:r>
        <w:rPr>
          <w:rStyle w:val="Strong"/>
          <w:rFonts w:asciiTheme="majorHAnsi" w:hAnsiTheme="majorHAnsi" w:cs="Arial"/>
          <w:b w:val="0"/>
          <w:sz w:val="24"/>
          <w:szCs w:val="24"/>
          <w:shd w:val="clear" w:color="auto" w:fill="FFFFFF"/>
        </w:rPr>
        <w:t xml:space="preserve"> 2019. </w:t>
      </w:r>
      <w:r w:rsidRPr="00F6551E">
        <w:rPr>
          <w:rStyle w:val="Strong"/>
          <w:rFonts w:asciiTheme="majorHAnsi" w:hAnsiTheme="majorHAnsi" w:cs="Arial"/>
          <w:b w:val="0"/>
          <w:sz w:val="24"/>
          <w:szCs w:val="24"/>
          <w:shd w:val="clear" w:color="auto" w:fill="FFFFFF"/>
        </w:rPr>
        <w:t xml:space="preserve">Moreover, it has also clarified that </w:t>
      </w:r>
      <w:r w:rsidRPr="00F6551E">
        <w:rPr>
          <w:rFonts w:asciiTheme="majorHAnsi" w:hAnsiTheme="majorHAnsi" w:cstheme="minorHAnsi"/>
          <w:color w:val="272727"/>
          <w:sz w:val="24"/>
          <w:szCs w:val="24"/>
          <w:shd w:val="clear" w:color="auto" w:fill="FFFFFF"/>
        </w:rPr>
        <w:t xml:space="preserve">in case the petitioner is hampered in any manner from availing the benefit of aforesaid judgment, due to </w:t>
      </w:r>
      <w:proofErr w:type="spellStart"/>
      <w:r w:rsidRPr="00F6551E">
        <w:rPr>
          <w:rFonts w:asciiTheme="majorHAnsi" w:hAnsiTheme="majorHAnsi" w:cstheme="minorHAnsi"/>
          <w:color w:val="272727"/>
          <w:sz w:val="24"/>
          <w:szCs w:val="24"/>
          <w:shd w:val="clear" w:color="auto" w:fill="FFFFFF"/>
        </w:rPr>
        <w:t>non opening</w:t>
      </w:r>
      <w:proofErr w:type="spellEnd"/>
      <w:r w:rsidRPr="00F6551E">
        <w:rPr>
          <w:rFonts w:asciiTheme="majorHAnsi" w:hAnsiTheme="majorHAnsi" w:cstheme="minorHAnsi"/>
          <w:color w:val="272727"/>
          <w:sz w:val="24"/>
          <w:szCs w:val="24"/>
          <w:shd w:val="clear" w:color="auto" w:fill="FFFFFF"/>
        </w:rPr>
        <w:t xml:space="preserve"> of the Portal by the Respondents, then the petitioner shall be permitted, in the alternative to claim the benefit of unutilized credit in their GST-3B Forms to be filed for the month of January, 2020 either electronically or manually.</w:t>
      </w:r>
    </w:p>
    <w:p w14:paraId="0EE8C9F4" w14:textId="77777777" w:rsidR="00A60343" w:rsidRDefault="00057650" w:rsidP="00A43B62">
      <w:pPr>
        <w:jc w:val="both"/>
        <w:rPr>
          <w:rFonts w:asciiTheme="majorHAnsi" w:hAnsiTheme="majorHAnsi" w:cstheme="minorHAnsi"/>
          <w:sz w:val="24"/>
          <w:szCs w:val="24"/>
        </w:rPr>
      </w:pPr>
      <w:r>
        <w:rPr>
          <w:rFonts w:asciiTheme="majorHAnsi" w:hAnsiTheme="majorHAnsi" w:cstheme="minorHAnsi"/>
          <w:sz w:val="24"/>
          <w:szCs w:val="24"/>
        </w:rPr>
        <w:t xml:space="preserve">4. </w:t>
      </w:r>
      <w:r w:rsidR="00A60343">
        <w:rPr>
          <w:rFonts w:asciiTheme="majorHAnsi" w:hAnsiTheme="majorHAnsi" w:cstheme="minorHAnsi"/>
          <w:sz w:val="24"/>
          <w:szCs w:val="24"/>
        </w:rPr>
        <w:t>Apart from the above, various High Courts have held that eligible credit cannot be denied on account of time limit as substantive rights cannot be curtailed by Rules as listed below:-</w:t>
      </w:r>
    </w:p>
    <w:tbl>
      <w:tblPr>
        <w:tblStyle w:val="TableGrid"/>
        <w:tblW w:w="0" w:type="auto"/>
        <w:tblInd w:w="488" w:type="dxa"/>
        <w:tblLook w:val="04A0" w:firstRow="1" w:lastRow="0" w:firstColumn="1" w:lastColumn="0" w:noHBand="0" w:noVBand="1"/>
      </w:tblPr>
      <w:tblGrid>
        <w:gridCol w:w="828"/>
        <w:gridCol w:w="3690"/>
        <w:gridCol w:w="3870"/>
      </w:tblGrid>
      <w:tr w:rsidR="00B516B8" w14:paraId="7EC6ABC8" w14:textId="77777777" w:rsidTr="00B516B8">
        <w:tc>
          <w:tcPr>
            <w:tcW w:w="828" w:type="dxa"/>
          </w:tcPr>
          <w:p w14:paraId="13983E41" w14:textId="77777777" w:rsidR="00B516B8" w:rsidRPr="001B0A96" w:rsidRDefault="00B516B8" w:rsidP="001B0A96">
            <w:pPr>
              <w:jc w:val="both"/>
              <w:rPr>
                <w:rFonts w:asciiTheme="majorHAnsi" w:hAnsiTheme="majorHAnsi" w:cstheme="minorHAnsi"/>
                <w:b/>
                <w:i/>
                <w:sz w:val="20"/>
                <w:szCs w:val="20"/>
              </w:rPr>
            </w:pPr>
            <w:proofErr w:type="spellStart"/>
            <w:r w:rsidRPr="001B0A96">
              <w:rPr>
                <w:rFonts w:asciiTheme="majorHAnsi" w:hAnsiTheme="majorHAnsi" w:cstheme="minorHAnsi"/>
                <w:b/>
                <w:i/>
                <w:sz w:val="20"/>
                <w:szCs w:val="20"/>
              </w:rPr>
              <w:t>SL.No</w:t>
            </w:r>
            <w:proofErr w:type="spellEnd"/>
          </w:p>
        </w:tc>
        <w:tc>
          <w:tcPr>
            <w:tcW w:w="3690" w:type="dxa"/>
          </w:tcPr>
          <w:p w14:paraId="52990852" w14:textId="77777777" w:rsidR="00B516B8" w:rsidRPr="001B0A96" w:rsidRDefault="00B516B8" w:rsidP="001B0A96">
            <w:pPr>
              <w:jc w:val="both"/>
              <w:rPr>
                <w:rFonts w:asciiTheme="majorHAnsi" w:hAnsiTheme="majorHAnsi" w:cstheme="minorHAnsi"/>
                <w:b/>
                <w:i/>
                <w:sz w:val="20"/>
                <w:szCs w:val="20"/>
              </w:rPr>
            </w:pPr>
            <w:r w:rsidRPr="001B0A96">
              <w:rPr>
                <w:rFonts w:asciiTheme="majorHAnsi" w:hAnsiTheme="majorHAnsi" w:cstheme="minorHAnsi"/>
                <w:b/>
                <w:i/>
                <w:sz w:val="20"/>
                <w:szCs w:val="20"/>
              </w:rPr>
              <w:t>Citation</w:t>
            </w:r>
          </w:p>
        </w:tc>
        <w:tc>
          <w:tcPr>
            <w:tcW w:w="3870" w:type="dxa"/>
          </w:tcPr>
          <w:p w14:paraId="53E12148" w14:textId="77777777" w:rsidR="00B516B8" w:rsidRPr="001B0A96" w:rsidRDefault="00B516B8" w:rsidP="001B0A96">
            <w:pPr>
              <w:jc w:val="both"/>
              <w:rPr>
                <w:rFonts w:asciiTheme="majorHAnsi" w:hAnsiTheme="majorHAnsi" w:cstheme="minorHAnsi"/>
                <w:b/>
                <w:i/>
                <w:sz w:val="20"/>
                <w:szCs w:val="20"/>
              </w:rPr>
            </w:pPr>
            <w:r w:rsidRPr="001B0A96">
              <w:rPr>
                <w:rFonts w:asciiTheme="majorHAnsi" w:hAnsiTheme="majorHAnsi" w:cstheme="minorHAnsi"/>
                <w:b/>
                <w:i/>
                <w:sz w:val="20"/>
                <w:szCs w:val="20"/>
              </w:rPr>
              <w:t>Party Name</w:t>
            </w:r>
          </w:p>
        </w:tc>
      </w:tr>
      <w:tr w:rsidR="00835F71" w14:paraId="29AA50CD" w14:textId="77777777" w:rsidTr="00B516B8">
        <w:tc>
          <w:tcPr>
            <w:tcW w:w="828" w:type="dxa"/>
          </w:tcPr>
          <w:p w14:paraId="26B915B0" w14:textId="77777777" w:rsidR="00835F71" w:rsidRPr="001B0A96" w:rsidRDefault="00835F71" w:rsidP="001B0A96">
            <w:pPr>
              <w:jc w:val="both"/>
              <w:rPr>
                <w:rFonts w:asciiTheme="majorHAnsi" w:hAnsiTheme="majorHAnsi" w:cstheme="minorHAnsi"/>
                <w:b/>
                <w:i/>
                <w:sz w:val="20"/>
                <w:szCs w:val="20"/>
              </w:rPr>
            </w:pPr>
            <w:r>
              <w:rPr>
                <w:rFonts w:asciiTheme="majorHAnsi" w:hAnsiTheme="majorHAnsi" w:cstheme="minorHAnsi"/>
                <w:b/>
                <w:i/>
                <w:sz w:val="20"/>
                <w:szCs w:val="20"/>
              </w:rPr>
              <w:t>1</w:t>
            </w:r>
          </w:p>
        </w:tc>
        <w:tc>
          <w:tcPr>
            <w:tcW w:w="3690" w:type="dxa"/>
          </w:tcPr>
          <w:p w14:paraId="2581C87F" w14:textId="77777777" w:rsidR="00835F71" w:rsidRPr="00E85C23" w:rsidRDefault="00E85C23" w:rsidP="001B0A96">
            <w:pPr>
              <w:jc w:val="both"/>
              <w:rPr>
                <w:rFonts w:asciiTheme="majorHAnsi" w:hAnsiTheme="majorHAnsi" w:cstheme="minorHAnsi"/>
                <w:b/>
                <w:i/>
                <w:sz w:val="20"/>
                <w:szCs w:val="20"/>
              </w:rPr>
            </w:pPr>
            <w:r w:rsidRPr="00E85C23">
              <w:rPr>
                <w:rStyle w:val="Strong"/>
                <w:rFonts w:asciiTheme="majorHAnsi" w:hAnsiTheme="majorHAnsi" w:cs="Arial"/>
                <w:b w:val="0"/>
                <w:i/>
                <w:color w:val="000000"/>
                <w:sz w:val="20"/>
                <w:szCs w:val="20"/>
                <w:shd w:val="clear" w:color="auto" w:fill="FFFFFF"/>
              </w:rPr>
              <w:t>2020 (1) TMI 568-P&amp;H- HC</w:t>
            </w:r>
          </w:p>
        </w:tc>
        <w:tc>
          <w:tcPr>
            <w:tcW w:w="3870" w:type="dxa"/>
          </w:tcPr>
          <w:p w14:paraId="7EF57584" w14:textId="77777777" w:rsidR="00835F71" w:rsidRPr="00E85C23" w:rsidRDefault="00E85C23" w:rsidP="001B0A96">
            <w:pPr>
              <w:jc w:val="both"/>
              <w:rPr>
                <w:rFonts w:asciiTheme="majorHAnsi" w:hAnsiTheme="majorHAnsi" w:cstheme="minorHAnsi"/>
                <w:b/>
                <w:i/>
                <w:sz w:val="20"/>
                <w:szCs w:val="20"/>
              </w:rPr>
            </w:pPr>
            <w:r w:rsidRPr="00E85C23">
              <w:rPr>
                <w:rFonts w:asciiTheme="majorHAnsi" w:hAnsiTheme="majorHAnsi" w:cstheme="minorHAnsi"/>
                <w:i/>
                <w:sz w:val="20"/>
                <w:szCs w:val="20"/>
              </w:rPr>
              <w:t>Silicon Constructions Pvt Ltd</w:t>
            </w:r>
            <w:r w:rsidRPr="00E85C23">
              <w:rPr>
                <w:rFonts w:asciiTheme="majorHAnsi" w:hAnsiTheme="majorHAnsi" w:cstheme="minorHAnsi"/>
                <w:b/>
                <w:i/>
                <w:sz w:val="20"/>
                <w:szCs w:val="20"/>
              </w:rPr>
              <w:t xml:space="preserve">, </w:t>
            </w:r>
            <w:proofErr w:type="spellStart"/>
            <w:r w:rsidRPr="00E85C23">
              <w:rPr>
                <w:rStyle w:val="Strong"/>
                <w:rFonts w:asciiTheme="majorHAnsi" w:hAnsiTheme="majorHAnsi" w:cs="Arial"/>
                <w:b w:val="0"/>
                <w:i/>
                <w:color w:val="000000"/>
                <w:sz w:val="20"/>
                <w:szCs w:val="20"/>
                <w:shd w:val="clear" w:color="auto" w:fill="FFFFFF"/>
              </w:rPr>
              <w:t>Girdhari</w:t>
            </w:r>
            <w:proofErr w:type="spellEnd"/>
            <w:r w:rsidRPr="00E85C23">
              <w:rPr>
                <w:rStyle w:val="Strong"/>
                <w:rFonts w:asciiTheme="majorHAnsi" w:hAnsiTheme="majorHAnsi" w:cs="Arial"/>
                <w:b w:val="0"/>
                <w:i/>
                <w:color w:val="000000"/>
                <w:sz w:val="20"/>
                <w:szCs w:val="20"/>
                <w:shd w:val="clear" w:color="auto" w:fill="FFFFFF"/>
              </w:rPr>
              <w:t xml:space="preserve"> Lal Aggarwal Contractors Pvt. Ltd</w:t>
            </w:r>
          </w:p>
        </w:tc>
      </w:tr>
      <w:tr w:rsidR="00B516B8" w14:paraId="482B4032" w14:textId="77777777" w:rsidTr="00B516B8">
        <w:tc>
          <w:tcPr>
            <w:tcW w:w="828" w:type="dxa"/>
          </w:tcPr>
          <w:p w14:paraId="05EA8817" w14:textId="77777777" w:rsidR="00B516B8" w:rsidRPr="001B0A96" w:rsidRDefault="00E85C23" w:rsidP="001B0A96">
            <w:pPr>
              <w:jc w:val="both"/>
              <w:rPr>
                <w:rFonts w:asciiTheme="majorHAnsi" w:hAnsiTheme="majorHAnsi" w:cstheme="minorHAnsi"/>
                <w:i/>
                <w:sz w:val="20"/>
                <w:szCs w:val="20"/>
              </w:rPr>
            </w:pPr>
            <w:r>
              <w:rPr>
                <w:rFonts w:asciiTheme="majorHAnsi" w:hAnsiTheme="majorHAnsi" w:cstheme="minorHAnsi"/>
                <w:i/>
                <w:sz w:val="20"/>
                <w:szCs w:val="20"/>
              </w:rPr>
              <w:t>2</w:t>
            </w:r>
          </w:p>
        </w:tc>
        <w:tc>
          <w:tcPr>
            <w:tcW w:w="3690" w:type="dxa"/>
          </w:tcPr>
          <w:p w14:paraId="11739600" w14:textId="77777777" w:rsidR="00B516B8" w:rsidRPr="00E85C23" w:rsidRDefault="00B516B8" w:rsidP="001B0A96">
            <w:pPr>
              <w:jc w:val="both"/>
              <w:rPr>
                <w:rFonts w:asciiTheme="majorHAnsi" w:hAnsiTheme="majorHAnsi" w:cstheme="minorHAnsi"/>
                <w:i/>
                <w:sz w:val="20"/>
                <w:szCs w:val="20"/>
                <w:highlight w:val="yellow"/>
              </w:rPr>
            </w:pPr>
            <w:r w:rsidRPr="00E85C23">
              <w:rPr>
                <w:rFonts w:asciiTheme="majorHAnsi" w:hAnsiTheme="majorHAnsi" w:cstheme="minorHAnsi"/>
                <w:i/>
                <w:sz w:val="20"/>
                <w:szCs w:val="20"/>
              </w:rPr>
              <w:t>2019-TIOL-2068-HC-AHM-GST</w:t>
            </w:r>
          </w:p>
        </w:tc>
        <w:tc>
          <w:tcPr>
            <w:tcW w:w="3870" w:type="dxa"/>
          </w:tcPr>
          <w:p w14:paraId="1A4E47F5" w14:textId="77777777" w:rsidR="00B516B8" w:rsidRPr="00E85C23" w:rsidRDefault="001B0A96" w:rsidP="001B0A96">
            <w:pPr>
              <w:jc w:val="both"/>
              <w:rPr>
                <w:rFonts w:asciiTheme="majorHAnsi" w:hAnsiTheme="majorHAnsi" w:cstheme="minorHAnsi"/>
                <w:i/>
                <w:sz w:val="20"/>
                <w:szCs w:val="20"/>
                <w:highlight w:val="yellow"/>
              </w:rPr>
            </w:pPr>
            <w:r w:rsidRPr="00E85C23">
              <w:rPr>
                <w:rFonts w:asciiTheme="majorHAnsi" w:hAnsiTheme="majorHAnsi" w:cstheme="minorHAnsi"/>
                <w:i/>
                <w:sz w:val="20"/>
                <w:szCs w:val="20"/>
              </w:rPr>
              <w:t xml:space="preserve">Siddharth Enterprises </w:t>
            </w:r>
          </w:p>
        </w:tc>
      </w:tr>
      <w:tr w:rsidR="00B516B8" w14:paraId="16D7C2E3" w14:textId="77777777" w:rsidTr="00B516B8">
        <w:tc>
          <w:tcPr>
            <w:tcW w:w="828" w:type="dxa"/>
          </w:tcPr>
          <w:p w14:paraId="3E4A8EDD" w14:textId="77777777" w:rsidR="00B516B8" w:rsidRPr="001B0A96" w:rsidRDefault="00E85C23" w:rsidP="001B0A96">
            <w:pPr>
              <w:jc w:val="both"/>
              <w:rPr>
                <w:rFonts w:asciiTheme="majorHAnsi" w:hAnsiTheme="majorHAnsi" w:cstheme="minorHAnsi"/>
                <w:i/>
                <w:sz w:val="20"/>
                <w:szCs w:val="20"/>
              </w:rPr>
            </w:pPr>
            <w:r>
              <w:rPr>
                <w:rFonts w:asciiTheme="majorHAnsi" w:hAnsiTheme="majorHAnsi" w:cstheme="minorHAnsi"/>
                <w:i/>
                <w:sz w:val="20"/>
                <w:szCs w:val="20"/>
              </w:rPr>
              <w:t>3</w:t>
            </w:r>
          </w:p>
        </w:tc>
        <w:tc>
          <w:tcPr>
            <w:tcW w:w="3690" w:type="dxa"/>
          </w:tcPr>
          <w:p w14:paraId="4D577FD0" w14:textId="77777777" w:rsidR="00B516B8" w:rsidRPr="001B0A96" w:rsidRDefault="00B516B8" w:rsidP="001B0A96">
            <w:pPr>
              <w:jc w:val="both"/>
              <w:rPr>
                <w:rFonts w:asciiTheme="majorHAnsi" w:hAnsiTheme="majorHAnsi" w:cstheme="minorHAnsi"/>
                <w:i/>
                <w:sz w:val="20"/>
                <w:szCs w:val="20"/>
                <w:highlight w:val="yellow"/>
              </w:rPr>
            </w:pPr>
            <w:r w:rsidRPr="001B0A96">
              <w:rPr>
                <w:rStyle w:val="Strong"/>
                <w:rFonts w:asciiTheme="majorHAnsi" w:hAnsiTheme="majorHAnsi" w:cs="Arial"/>
                <w:b w:val="0"/>
                <w:i/>
                <w:sz w:val="20"/>
                <w:szCs w:val="20"/>
                <w:shd w:val="clear" w:color="auto" w:fill="FFFFFF"/>
              </w:rPr>
              <w:t>2019-TIOL-1661-HC-DEL-GST</w:t>
            </w:r>
          </w:p>
        </w:tc>
        <w:tc>
          <w:tcPr>
            <w:tcW w:w="3870" w:type="dxa"/>
          </w:tcPr>
          <w:p w14:paraId="30CF2C00" w14:textId="77777777" w:rsidR="00B516B8" w:rsidRPr="001B0A96" w:rsidRDefault="00B516B8" w:rsidP="001B0A96">
            <w:pPr>
              <w:jc w:val="both"/>
              <w:rPr>
                <w:rFonts w:asciiTheme="majorHAnsi" w:hAnsiTheme="majorHAnsi" w:cstheme="minorHAnsi"/>
                <w:i/>
                <w:sz w:val="20"/>
                <w:szCs w:val="20"/>
                <w:highlight w:val="yellow"/>
              </w:rPr>
            </w:pPr>
            <w:proofErr w:type="spellStart"/>
            <w:r w:rsidRPr="001B0A96">
              <w:rPr>
                <w:rFonts w:asciiTheme="majorHAnsi" w:hAnsiTheme="majorHAnsi" w:cstheme="minorHAnsi"/>
                <w:i/>
                <w:sz w:val="20"/>
                <w:szCs w:val="20"/>
              </w:rPr>
              <w:t>Uninav</w:t>
            </w:r>
            <w:proofErr w:type="spellEnd"/>
            <w:r w:rsidRPr="001B0A96">
              <w:rPr>
                <w:rFonts w:asciiTheme="majorHAnsi" w:hAnsiTheme="majorHAnsi" w:cstheme="minorHAnsi"/>
                <w:i/>
                <w:sz w:val="20"/>
                <w:szCs w:val="20"/>
              </w:rPr>
              <w:t xml:space="preserve"> Developers Pvt Ltd </w:t>
            </w:r>
          </w:p>
        </w:tc>
      </w:tr>
      <w:tr w:rsidR="00B516B8" w14:paraId="5EFE8BDE" w14:textId="77777777" w:rsidTr="00B516B8">
        <w:tc>
          <w:tcPr>
            <w:tcW w:w="828" w:type="dxa"/>
          </w:tcPr>
          <w:p w14:paraId="6E5C2B7F" w14:textId="77777777" w:rsidR="00B516B8" w:rsidRPr="001B0A96" w:rsidRDefault="00E85C23" w:rsidP="001B0A96">
            <w:pPr>
              <w:jc w:val="both"/>
              <w:rPr>
                <w:rFonts w:asciiTheme="majorHAnsi" w:hAnsiTheme="majorHAnsi" w:cstheme="minorHAnsi"/>
                <w:i/>
                <w:sz w:val="20"/>
                <w:szCs w:val="20"/>
              </w:rPr>
            </w:pPr>
            <w:r>
              <w:rPr>
                <w:rFonts w:asciiTheme="majorHAnsi" w:hAnsiTheme="majorHAnsi" w:cstheme="minorHAnsi"/>
                <w:i/>
                <w:sz w:val="20"/>
                <w:szCs w:val="20"/>
              </w:rPr>
              <w:t>4</w:t>
            </w:r>
          </w:p>
        </w:tc>
        <w:tc>
          <w:tcPr>
            <w:tcW w:w="3690" w:type="dxa"/>
          </w:tcPr>
          <w:p w14:paraId="60FD8758" w14:textId="77777777" w:rsidR="00B516B8" w:rsidRPr="001B0A96" w:rsidRDefault="00B516B8" w:rsidP="001B0A96">
            <w:pPr>
              <w:jc w:val="both"/>
              <w:rPr>
                <w:rFonts w:asciiTheme="majorHAnsi" w:hAnsiTheme="majorHAnsi" w:cstheme="minorHAnsi"/>
                <w:i/>
                <w:sz w:val="20"/>
                <w:szCs w:val="20"/>
                <w:highlight w:val="yellow"/>
              </w:rPr>
            </w:pPr>
            <w:r w:rsidRPr="001B0A96">
              <w:rPr>
                <w:rStyle w:val="Strong"/>
                <w:rFonts w:asciiTheme="majorHAnsi" w:hAnsiTheme="majorHAnsi" w:cs="Arial"/>
                <w:b w:val="0"/>
                <w:i/>
                <w:sz w:val="20"/>
                <w:szCs w:val="20"/>
                <w:shd w:val="clear" w:color="auto" w:fill="FFFFFF"/>
              </w:rPr>
              <w:t>2019-TIOL-1902-HC-DEL-GST</w:t>
            </w:r>
          </w:p>
        </w:tc>
        <w:tc>
          <w:tcPr>
            <w:tcW w:w="3870" w:type="dxa"/>
          </w:tcPr>
          <w:p w14:paraId="793E1D7F" w14:textId="77777777" w:rsidR="00B516B8" w:rsidRPr="001B0A96" w:rsidRDefault="00B516B8" w:rsidP="001B0A96">
            <w:pPr>
              <w:jc w:val="both"/>
              <w:rPr>
                <w:rFonts w:asciiTheme="majorHAnsi" w:hAnsiTheme="majorHAnsi" w:cstheme="minorHAnsi"/>
                <w:i/>
                <w:sz w:val="20"/>
                <w:szCs w:val="20"/>
                <w:highlight w:val="yellow"/>
              </w:rPr>
            </w:pPr>
            <w:proofErr w:type="spellStart"/>
            <w:r w:rsidRPr="001B0A96">
              <w:rPr>
                <w:rFonts w:asciiTheme="majorHAnsi" w:hAnsiTheme="majorHAnsi" w:cstheme="minorHAnsi"/>
                <w:i/>
                <w:sz w:val="20"/>
                <w:szCs w:val="20"/>
              </w:rPr>
              <w:t>Tyre</w:t>
            </w:r>
            <w:proofErr w:type="spellEnd"/>
            <w:r w:rsidRPr="001B0A96">
              <w:rPr>
                <w:rFonts w:asciiTheme="majorHAnsi" w:hAnsiTheme="majorHAnsi" w:cstheme="minorHAnsi"/>
                <w:i/>
                <w:sz w:val="20"/>
                <w:szCs w:val="20"/>
              </w:rPr>
              <w:t xml:space="preserve"> Plaza </w:t>
            </w:r>
          </w:p>
        </w:tc>
      </w:tr>
      <w:tr w:rsidR="00B516B8" w14:paraId="09FF011E" w14:textId="77777777" w:rsidTr="001B0A96">
        <w:trPr>
          <w:trHeight w:val="359"/>
        </w:trPr>
        <w:tc>
          <w:tcPr>
            <w:tcW w:w="828" w:type="dxa"/>
          </w:tcPr>
          <w:p w14:paraId="6648B1DE" w14:textId="77777777" w:rsidR="00B516B8" w:rsidRPr="001B0A96" w:rsidRDefault="00E85C23" w:rsidP="001B0A96">
            <w:pPr>
              <w:jc w:val="both"/>
              <w:rPr>
                <w:rFonts w:asciiTheme="majorHAnsi" w:hAnsiTheme="majorHAnsi" w:cstheme="minorHAnsi"/>
                <w:i/>
                <w:sz w:val="20"/>
                <w:szCs w:val="20"/>
              </w:rPr>
            </w:pPr>
            <w:r>
              <w:rPr>
                <w:rFonts w:asciiTheme="majorHAnsi" w:hAnsiTheme="majorHAnsi" w:cstheme="minorHAnsi"/>
                <w:i/>
                <w:sz w:val="20"/>
                <w:szCs w:val="20"/>
              </w:rPr>
              <w:t>5</w:t>
            </w:r>
          </w:p>
        </w:tc>
        <w:tc>
          <w:tcPr>
            <w:tcW w:w="3690" w:type="dxa"/>
          </w:tcPr>
          <w:p w14:paraId="0DDC72E9" w14:textId="77777777" w:rsidR="00B516B8" w:rsidRPr="001B0A96" w:rsidRDefault="00B516B8" w:rsidP="001B0A96">
            <w:pPr>
              <w:jc w:val="both"/>
              <w:rPr>
                <w:rStyle w:val="Strong"/>
                <w:rFonts w:asciiTheme="majorHAnsi" w:hAnsiTheme="majorHAnsi" w:cstheme="minorHAnsi"/>
                <w:b w:val="0"/>
                <w:bCs w:val="0"/>
                <w:i/>
                <w:sz w:val="20"/>
                <w:szCs w:val="20"/>
              </w:rPr>
            </w:pPr>
            <w:r w:rsidRPr="001B0A96">
              <w:rPr>
                <w:rStyle w:val="Strong"/>
                <w:rFonts w:asciiTheme="majorHAnsi" w:hAnsiTheme="majorHAnsi" w:cs="Arial"/>
                <w:b w:val="0"/>
                <w:i/>
                <w:sz w:val="20"/>
                <w:szCs w:val="20"/>
                <w:shd w:val="clear" w:color="auto" w:fill="FFFFFF"/>
              </w:rPr>
              <w:t>2019-TIOL-1060-HC-DEL-GST</w:t>
            </w:r>
          </w:p>
          <w:p w14:paraId="5D30FF47" w14:textId="77777777" w:rsidR="00B516B8" w:rsidRPr="001B0A96" w:rsidRDefault="00B516B8" w:rsidP="001B0A96">
            <w:pPr>
              <w:jc w:val="both"/>
              <w:rPr>
                <w:rFonts w:asciiTheme="majorHAnsi" w:hAnsiTheme="majorHAnsi" w:cstheme="minorHAnsi"/>
                <w:i/>
                <w:sz w:val="20"/>
                <w:szCs w:val="20"/>
                <w:highlight w:val="yellow"/>
              </w:rPr>
            </w:pPr>
          </w:p>
        </w:tc>
        <w:tc>
          <w:tcPr>
            <w:tcW w:w="3870" w:type="dxa"/>
          </w:tcPr>
          <w:p w14:paraId="3BBE2E32" w14:textId="77777777" w:rsidR="00B516B8" w:rsidRPr="001B0A96" w:rsidRDefault="001B0A96" w:rsidP="001B0A96">
            <w:pPr>
              <w:jc w:val="both"/>
              <w:rPr>
                <w:rFonts w:asciiTheme="majorHAnsi" w:hAnsiTheme="majorHAnsi" w:cstheme="minorHAnsi"/>
                <w:i/>
                <w:sz w:val="20"/>
                <w:szCs w:val="20"/>
                <w:highlight w:val="yellow"/>
              </w:rPr>
            </w:pPr>
            <w:r w:rsidRPr="001B0A96">
              <w:rPr>
                <w:rFonts w:asciiTheme="majorHAnsi" w:hAnsiTheme="majorHAnsi" w:cstheme="minorHAnsi"/>
                <w:i/>
                <w:sz w:val="20"/>
                <w:szCs w:val="20"/>
              </w:rPr>
              <w:t xml:space="preserve">Bhargava Motors </w:t>
            </w:r>
          </w:p>
        </w:tc>
      </w:tr>
      <w:tr w:rsidR="00B516B8" w14:paraId="0DBDB407" w14:textId="77777777" w:rsidTr="00B516B8">
        <w:tc>
          <w:tcPr>
            <w:tcW w:w="828" w:type="dxa"/>
          </w:tcPr>
          <w:p w14:paraId="16DAA448" w14:textId="77777777" w:rsidR="00B516B8" w:rsidRPr="001B0A96" w:rsidRDefault="00E85C23" w:rsidP="001B0A96">
            <w:pPr>
              <w:jc w:val="both"/>
              <w:rPr>
                <w:rFonts w:asciiTheme="majorHAnsi" w:hAnsiTheme="majorHAnsi" w:cstheme="minorHAnsi"/>
                <w:i/>
                <w:sz w:val="20"/>
                <w:szCs w:val="20"/>
              </w:rPr>
            </w:pPr>
            <w:r>
              <w:rPr>
                <w:rFonts w:asciiTheme="majorHAnsi" w:hAnsiTheme="majorHAnsi" w:cstheme="minorHAnsi"/>
                <w:i/>
                <w:sz w:val="20"/>
                <w:szCs w:val="20"/>
              </w:rPr>
              <w:t>6</w:t>
            </w:r>
          </w:p>
        </w:tc>
        <w:tc>
          <w:tcPr>
            <w:tcW w:w="3690" w:type="dxa"/>
          </w:tcPr>
          <w:p w14:paraId="5CDD2377" w14:textId="77777777" w:rsidR="00B516B8" w:rsidRPr="001B0A96" w:rsidRDefault="00B516B8" w:rsidP="001B0A96">
            <w:pPr>
              <w:jc w:val="both"/>
              <w:rPr>
                <w:rStyle w:val="Strong"/>
                <w:rFonts w:asciiTheme="majorHAnsi" w:hAnsiTheme="majorHAnsi" w:cstheme="minorHAnsi"/>
                <w:b w:val="0"/>
                <w:bCs w:val="0"/>
                <w:i/>
                <w:sz w:val="20"/>
                <w:szCs w:val="20"/>
              </w:rPr>
            </w:pPr>
            <w:r w:rsidRPr="001B0A96">
              <w:rPr>
                <w:rStyle w:val="Strong"/>
                <w:rFonts w:asciiTheme="majorHAnsi" w:hAnsiTheme="majorHAnsi" w:cs="Arial"/>
                <w:b w:val="0"/>
                <w:i/>
                <w:sz w:val="20"/>
                <w:szCs w:val="20"/>
                <w:shd w:val="clear" w:color="auto" w:fill="FFFFFF"/>
              </w:rPr>
              <w:t>2019-TIOL-1509-HC-DEL-GST</w:t>
            </w:r>
          </w:p>
          <w:p w14:paraId="2AA666BF" w14:textId="77777777" w:rsidR="00B516B8" w:rsidRPr="001B0A96" w:rsidRDefault="00B516B8" w:rsidP="001B0A96">
            <w:pPr>
              <w:jc w:val="both"/>
              <w:rPr>
                <w:rFonts w:asciiTheme="majorHAnsi" w:hAnsiTheme="majorHAnsi" w:cstheme="minorHAnsi"/>
                <w:i/>
                <w:sz w:val="20"/>
                <w:szCs w:val="20"/>
                <w:highlight w:val="yellow"/>
              </w:rPr>
            </w:pPr>
          </w:p>
        </w:tc>
        <w:tc>
          <w:tcPr>
            <w:tcW w:w="3870" w:type="dxa"/>
          </w:tcPr>
          <w:p w14:paraId="4CC0710C" w14:textId="77777777" w:rsidR="00B516B8" w:rsidRPr="001B0A96" w:rsidRDefault="00B516B8" w:rsidP="001B0A96">
            <w:pPr>
              <w:jc w:val="both"/>
              <w:rPr>
                <w:rFonts w:asciiTheme="majorHAnsi" w:hAnsiTheme="majorHAnsi" w:cstheme="minorHAnsi"/>
                <w:i/>
                <w:sz w:val="20"/>
                <w:szCs w:val="20"/>
                <w:highlight w:val="yellow"/>
              </w:rPr>
            </w:pPr>
            <w:r w:rsidRPr="001B0A96">
              <w:rPr>
                <w:rFonts w:asciiTheme="majorHAnsi" w:hAnsiTheme="majorHAnsi" w:cstheme="minorHAnsi"/>
                <w:i/>
                <w:sz w:val="20"/>
                <w:szCs w:val="20"/>
              </w:rPr>
              <w:t xml:space="preserve">Kusum Enterprises Pvt Ltd </w:t>
            </w:r>
          </w:p>
        </w:tc>
      </w:tr>
      <w:tr w:rsidR="00B516B8" w14:paraId="41A32F31" w14:textId="77777777" w:rsidTr="00B516B8">
        <w:tc>
          <w:tcPr>
            <w:tcW w:w="828" w:type="dxa"/>
          </w:tcPr>
          <w:p w14:paraId="41B01BC7" w14:textId="77777777" w:rsidR="00B516B8" w:rsidRPr="001B0A96" w:rsidRDefault="00E85C23" w:rsidP="001B0A96">
            <w:pPr>
              <w:jc w:val="both"/>
              <w:rPr>
                <w:rFonts w:asciiTheme="majorHAnsi" w:hAnsiTheme="majorHAnsi" w:cstheme="minorHAnsi"/>
                <w:i/>
                <w:sz w:val="20"/>
                <w:szCs w:val="20"/>
              </w:rPr>
            </w:pPr>
            <w:r>
              <w:rPr>
                <w:rFonts w:asciiTheme="majorHAnsi" w:hAnsiTheme="majorHAnsi" w:cstheme="minorHAnsi"/>
                <w:i/>
                <w:sz w:val="20"/>
                <w:szCs w:val="20"/>
              </w:rPr>
              <w:t>7</w:t>
            </w:r>
          </w:p>
        </w:tc>
        <w:tc>
          <w:tcPr>
            <w:tcW w:w="3690" w:type="dxa"/>
          </w:tcPr>
          <w:p w14:paraId="1C2673B7" w14:textId="77777777" w:rsidR="00B516B8" w:rsidRPr="001B0A96" w:rsidRDefault="00B516B8" w:rsidP="001B0A96">
            <w:pPr>
              <w:jc w:val="both"/>
              <w:rPr>
                <w:rStyle w:val="Strong"/>
                <w:rFonts w:asciiTheme="majorHAnsi" w:hAnsiTheme="majorHAnsi" w:cstheme="minorHAnsi"/>
                <w:b w:val="0"/>
                <w:bCs w:val="0"/>
                <w:i/>
                <w:sz w:val="20"/>
                <w:szCs w:val="20"/>
              </w:rPr>
            </w:pPr>
            <w:r w:rsidRPr="001B0A96">
              <w:rPr>
                <w:rStyle w:val="Strong"/>
                <w:rFonts w:asciiTheme="majorHAnsi" w:hAnsiTheme="majorHAnsi" w:cs="Arial"/>
                <w:b w:val="0"/>
                <w:i/>
                <w:sz w:val="20"/>
                <w:szCs w:val="20"/>
                <w:shd w:val="clear" w:color="auto" w:fill="FFFFFF"/>
              </w:rPr>
              <w:t>2019-TIOL-2153-HC-DEL-GST</w:t>
            </w:r>
          </w:p>
          <w:p w14:paraId="0A3205D5" w14:textId="77777777" w:rsidR="00B516B8" w:rsidRPr="001B0A96" w:rsidRDefault="00B516B8" w:rsidP="001B0A96">
            <w:pPr>
              <w:jc w:val="both"/>
              <w:rPr>
                <w:rFonts w:asciiTheme="majorHAnsi" w:hAnsiTheme="majorHAnsi" w:cstheme="minorHAnsi"/>
                <w:i/>
                <w:sz w:val="20"/>
                <w:szCs w:val="20"/>
                <w:highlight w:val="yellow"/>
              </w:rPr>
            </w:pPr>
          </w:p>
        </w:tc>
        <w:tc>
          <w:tcPr>
            <w:tcW w:w="3870" w:type="dxa"/>
          </w:tcPr>
          <w:p w14:paraId="3C166165" w14:textId="77777777" w:rsidR="00B516B8" w:rsidRPr="001B0A96" w:rsidRDefault="00B516B8" w:rsidP="001B0A96">
            <w:pPr>
              <w:jc w:val="both"/>
              <w:rPr>
                <w:rFonts w:asciiTheme="majorHAnsi" w:hAnsiTheme="majorHAnsi" w:cstheme="minorHAnsi"/>
                <w:i/>
                <w:sz w:val="20"/>
                <w:szCs w:val="20"/>
                <w:highlight w:val="yellow"/>
              </w:rPr>
            </w:pPr>
            <w:proofErr w:type="spellStart"/>
            <w:r w:rsidRPr="001B0A96">
              <w:rPr>
                <w:rFonts w:asciiTheme="majorHAnsi" w:hAnsiTheme="majorHAnsi" w:cstheme="minorHAnsi"/>
                <w:i/>
                <w:sz w:val="20"/>
                <w:szCs w:val="20"/>
              </w:rPr>
              <w:t>KrishAutomotorsPvt</w:t>
            </w:r>
            <w:proofErr w:type="spellEnd"/>
            <w:r w:rsidRPr="001B0A96">
              <w:rPr>
                <w:rFonts w:asciiTheme="majorHAnsi" w:hAnsiTheme="majorHAnsi" w:cstheme="minorHAnsi"/>
                <w:i/>
                <w:sz w:val="20"/>
                <w:szCs w:val="20"/>
              </w:rPr>
              <w:t xml:space="preserve"> Ltd </w:t>
            </w:r>
          </w:p>
        </w:tc>
      </w:tr>
      <w:tr w:rsidR="00B516B8" w14:paraId="1B081DD4" w14:textId="77777777" w:rsidTr="00B516B8">
        <w:tc>
          <w:tcPr>
            <w:tcW w:w="828" w:type="dxa"/>
          </w:tcPr>
          <w:p w14:paraId="2C5639ED" w14:textId="77777777" w:rsidR="00B516B8" w:rsidRPr="001B0A96" w:rsidRDefault="00E85C23" w:rsidP="001B0A96">
            <w:pPr>
              <w:jc w:val="both"/>
              <w:rPr>
                <w:rFonts w:asciiTheme="majorHAnsi" w:hAnsiTheme="majorHAnsi" w:cstheme="minorHAnsi"/>
                <w:i/>
                <w:sz w:val="20"/>
                <w:szCs w:val="20"/>
              </w:rPr>
            </w:pPr>
            <w:r>
              <w:rPr>
                <w:rFonts w:asciiTheme="majorHAnsi" w:hAnsiTheme="majorHAnsi" w:cstheme="minorHAnsi"/>
                <w:i/>
                <w:sz w:val="20"/>
                <w:szCs w:val="20"/>
              </w:rPr>
              <w:t>8</w:t>
            </w:r>
          </w:p>
        </w:tc>
        <w:tc>
          <w:tcPr>
            <w:tcW w:w="3690" w:type="dxa"/>
          </w:tcPr>
          <w:p w14:paraId="02F90BBF" w14:textId="77777777" w:rsidR="00B516B8" w:rsidRPr="001B0A96" w:rsidRDefault="00B516B8" w:rsidP="001B0A96">
            <w:pPr>
              <w:jc w:val="both"/>
              <w:rPr>
                <w:rStyle w:val="Strong"/>
                <w:rFonts w:asciiTheme="majorHAnsi" w:hAnsiTheme="majorHAnsi" w:cstheme="minorHAnsi"/>
                <w:b w:val="0"/>
                <w:bCs w:val="0"/>
                <w:i/>
                <w:sz w:val="20"/>
                <w:szCs w:val="20"/>
              </w:rPr>
            </w:pPr>
            <w:r w:rsidRPr="001B0A96">
              <w:rPr>
                <w:rStyle w:val="Strong"/>
                <w:rFonts w:asciiTheme="majorHAnsi" w:hAnsiTheme="majorHAnsi" w:cs="Arial"/>
                <w:b w:val="0"/>
                <w:i/>
                <w:sz w:val="20"/>
                <w:szCs w:val="20"/>
                <w:shd w:val="clear" w:color="auto" w:fill="FFFFFF"/>
              </w:rPr>
              <w:t>2019-TIOL-2289-HC-DEL-GST</w:t>
            </w:r>
          </w:p>
          <w:p w14:paraId="27445F47" w14:textId="77777777" w:rsidR="00B516B8" w:rsidRPr="001B0A96" w:rsidRDefault="00B516B8" w:rsidP="001B0A96">
            <w:pPr>
              <w:jc w:val="both"/>
              <w:rPr>
                <w:rFonts w:asciiTheme="majorHAnsi" w:hAnsiTheme="majorHAnsi" w:cstheme="minorHAnsi"/>
                <w:i/>
                <w:sz w:val="20"/>
                <w:szCs w:val="20"/>
                <w:highlight w:val="yellow"/>
              </w:rPr>
            </w:pPr>
          </w:p>
        </w:tc>
        <w:tc>
          <w:tcPr>
            <w:tcW w:w="3870" w:type="dxa"/>
          </w:tcPr>
          <w:p w14:paraId="0507E5D0" w14:textId="77777777" w:rsidR="00B516B8" w:rsidRPr="001B0A96" w:rsidRDefault="00B516B8" w:rsidP="001B0A96">
            <w:pPr>
              <w:jc w:val="both"/>
              <w:rPr>
                <w:rFonts w:asciiTheme="majorHAnsi" w:hAnsiTheme="majorHAnsi" w:cstheme="minorHAnsi"/>
                <w:i/>
                <w:sz w:val="20"/>
                <w:szCs w:val="20"/>
                <w:highlight w:val="yellow"/>
              </w:rPr>
            </w:pPr>
            <w:proofErr w:type="spellStart"/>
            <w:r w:rsidRPr="001B0A96">
              <w:rPr>
                <w:rFonts w:asciiTheme="majorHAnsi" w:hAnsiTheme="majorHAnsi" w:cstheme="minorHAnsi"/>
                <w:i/>
                <w:sz w:val="20"/>
                <w:szCs w:val="20"/>
              </w:rPr>
              <w:t>Aadinath</w:t>
            </w:r>
            <w:proofErr w:type="spellEnd"/>
            <w:r w:rsidRPr="001B0A96">
              <w:rPr>
                <w:rFonts w:asciiTheme="majorHAnsi" w:hAnsiTheme="majorHAnsi" w:cstheme="minorHAnsi"/>
                <w:i/>
                <w:sz w:val="20"/>
                <w:szCs w:val="20"/>
              </w:rPr>
              <w:t xml:space="preserve"> Industries and </w:t>
            </w:r>
            <w:proofErr w:type="spellStart"/>
            <w:r w:rsidRPr="001B0A96">
              <w:rPr>
                <w:rFonts w:asciiTheme="majorHAnsi" w:hAnsiTheme="majorHAnsi" w:cstheme="minorHAnsi"/>
                <w:i/>
                <w:sz w:val="20"/>
                <w:szCs w:val="20"/>
              </w:rPr>
              <w:t>Anr</w:t>
            </w:r>
            <w:proofErr w:type="spellEnd"/>
            <w:r w:rsidR="001B0A96" w:rsidRPr="001B0A96">
              <w:rPr>
                <w:rFonts w:asciiTheme="majorHAnsi" w:hAnsiTheme="majorHAnsi" w:cstheme="minorHAnsi"/>
                <w:i/>
                <w:sz w:val="20"/>
                <w:szCs w:val="20"/>
              </w:rPr>
              <w:t xml:space="preserve"> </w:t>
            </w:r>
          </w:p>
        </w:tc>
      </w:tr>
      <w:tr w:rsidR="00B516B8" w14:paraId="49E63D0C" w14:textId="77777777" w:rsidTr="00B516B8">
        <w:tc>
          <w:tcPr>
            <w:tcW w:w="828" w:type="dxa"/>
          </w:tcPr>
          <w:p w14:paraId="216D0983" w14:textId="77777777" w:rsidR="00B516B8" w:rsidRPr="001B0A96" w:rsidRDefault="00E85C23" w:rsidP="001B0A96">
            <w:pPr>
              <w:jc w:val="both"/>
              <w:rPr>
                <w:rFonts w:asciiTheme="majorHAnsi" w:hAnsiTheme="majorHAnsi" w:cstheme="minorHAnsi"/>
                <w:i/>
                <w:sz w:val="20"/>
                <w:szCs w:val="20"/>
              </w:rPr>
            </w:pPr>
            <w:r>
              <w:rPr>
                <w:rFonts w:asciiTheme="majorHAnsi" w:hAnsiTheme="majorHAnsi" w:cstheme="minorHAnsi"/>
                <w:i/>
                <w:sz w:val="20"/>
                <w:szCs w:val="20"/>
              </w:rPr>
              <w:t>9</w:t>
            </w:r>
          </w:p>
        </w:tc>
        <w:tc>
          <w:tcPr>
            <w:tcW w:w="3690" w:type="dxa"/>
          </w:tcPr>
          <w:p w14:paraId="6F12A29B" w14:textId="77777777" w:rsidR="00B516B8" w:rsidRPr="001B0A96" w:rsidRDefault="00B516B8" w:rsidP="001B0A96">
            <w:pPr>
              <w:jc w:val="both"/>
              <w:rPr>
                <w:rStyle w:val="Strong"/>
                <w:rFonts w:asciiTheme="majorHAnsi" w:hAnsiTheme="majorHAnsi" w:cstheme="minorHAnsi"/>
                <w:b w:val="0"/>
                <w:bCs w:val="0"/>
                <w:i/>
                <w:sz w:val="20"/>
                <w:szCs w:val="20"/>
              </w:rPr>
            </w:pPr>
            <w:r w:rsidRPr="001B0A96">
              <w:rPr>
                <w:rStyle w:val="Strong"/>
                <w:rFonts w:asciiTheme="majorHAnsi" w:hAnsiTheme="majorHAnsi" w:cs="Arial"/>
                <w:b w:val="0"/>
                <w:i/>
                <w:sz w:val="20"/>
                <w:szCs w:val="20"/>
                <w:shd w:val="clear" w:color="auto" w:fill="FFFFFF"/>
              </w:rPr>
              <w:t>2019-TIOL-2544-HC-DEL-GST]</w:t>
            </w:r>
          </w:p>
          <w:p w14:paraId="38F5011B" w14:textId="77777777" w:rsidR="00B516B8" w:rsidRPr="001B0A96" w:rsidRDefault="00B516B8" w:rsidP="001B0A96">
            <w:pPr>
              <w:jc w:val="both"/>
              <w:rPr>
                <w:rStyle w:val="Strong"/>
                <w:rFonts w:asciiTheme="majorHAnsi" w:hAnsiTheme="majorHAnsi" w:cs="Arial"/>
                <w:b w:val="0"/>
                <w:i/>
                <w:sz w:val="20"/>
                <w:szCs w:val="20"/>
                <w:shd w:val="clear" w:color="auto" w:fill="FFFFFF"/>
              </w:rPr>
            </w:pPr>
          </w:p>
        </w:tc>
        <w:tc>
          <w:tcPr>
            <w:tcW w:w="3870" w:type="dxa"/>
          </w:tcPr>
          <w:p w14:paraId="2A3838C2" w14:textId="77777777" w:rsidR="00B516B8" w:rsidRPr="001B0A96" w:rsidRDefault="00B516B8" w:rsidP="001B0A96">
            <w:pPr>
              <w:jc w:val="both"/>
              <w:rPr>
                <w:rFonts w:asciiTheme="majorHAnsi" w:hAnsiTheme="majorHAnsi" w:cstheme="minorHAnsi"/>
                <w:i/>
                <w:sz w:val="20"/>
                <w:szCs w:val="20"/>
              </w:rPr>
            </w:pPr>
            <w:r w:rsidRPr="001B0A96">
              <w:rPr>
                <w:rFonts w:asciiTheme="majorHAnsi" w:hAnsiTheme="majorHAnsi" w:cstheme="minorHAnsi"/>
                <w:i/>
                <w:sz w:val="20"/>
                <w:szCs w:val="20"/>
              </w:rPr>
              <w:t>Arora and Company Union of India and Others</w:t>
            </w:r>
          </w:p>
        </w:tc>
      </w:tr>
      <w:tr w:rsidR="00B516B8" w14:paraId="73035611" w14:textId="77777777" w:rsidTr="00B516B8">
        <w:tc>
          <w:tcPr>
            <w:tcW w:w="828" w:type="dxa"/>
          </w:tcPr>
          <w:p w14:paraId="20C0D5A5" w14:textId="77777777" w:rsidR="00B516B8" w:rsidRPr="001B0A96" w:rsidRDefault="00E85C23" w:rsidP="001B0A96">
            <w:pPr>
              <w:jc w:val="both"/>
              <w:rPr>
                <w:rFonts w:asciiTheme="majorHAnsi" w:hAnsiTheme="majorHAnsi" w:cstheme="minorHAnsi"/>
                <w:i/>
                <w:sz w:val="20"/>
                <w:szCs w:val="20"/>
              </w:rPr>
            </w:pPr>
            <w:r>
              <w:rPr>
                <w:rFonts w:asciiTheme="majorHAnsi" w:hAnsiTheme="majorHAnsi" w:cstheme="minorHAnsi"/>
                <w:i/>
                <w:sz w:val="20"/>
                <w:szCs w:val="20"/>
              </w:rPr>
              <w:t>10</w:t>
            </w:r>
          </w:p>
        </w:tc>
        <w:tc>
          <w:tcPr>
            <w:tcW w:w="3690" w:type="dxa"/>
          </w:tcPr>
          <w:p w14:paraId="20D0DE14" w14:textId="77777777" w:rsidR="001B0A96" w:rsidRPr="001B0A96" w:rsidRDefault="001B0A96" w:rsidP="001B0A96">
            <w:pPr>
              <w:jc w:val="both"/>
              <w:rPr>
                <w:rFonts w:asciiTheme="majorHAnsi" w:hAnsiTheme="majorHAnsi" w:cstheme="minorHAnsi"/>
                <w:i/>
                <w:sz w:val="20"/>
                <w:szCs w:val="20"/>
              </w:rPr>
            </w:pPr>
            <w:r w:rsidRPr="001B0A96">
              <w:rPr>
                <w:rFonts w:asciiTheme="majorHAnsi" w:hAnsiTheme="majorHAnsi" w:cstheme="minorHAnsi"/>
                <w:i/>
                <w:sz w:val="20"/>
                <w:szCs w:val="20"/>
              </w:rPr>
              <w:t>2019-TIOL-1564-HC-DEL-GST</w:t>
            </w:r>
          </w:p>
          <w:p w14:paraId="07E47584" w14:textId="77777777" w:rsidR="00B516B8" w:rsidRPr="001B0A96" w:rsidRDefault="00B516B8" w:rsidP="001B0A96">
            <w:pPr>
              <w:jc w:val="both"/>
              <w:rPr>
                <w:rStyle w:val="Strong"/>
                <w:rFonts w:asciiTheme="majorHAnsi" w:hAnsiTheme="majorHAnsi" w:cs="Arial"/>
                <w:b w:val="0"/>
                <w:sz w:val="20"/>
                <w:szCs w:val="20"/>
                <w:shd w:val="clear" w:color="auto" w:fill="FFFFFF"/>
              </w:rPr>
            </w:pPr>
          </w:p>
        </w:tc>
        <w:tc>
          <w:tcPr>
            <w:tcW w:w="3870" w:type="dxa"/>
          </w:tcPr>
          <w:p w14:paraId="627D1108" w14:textId="77777777" w:rsidR="00B516B8" w:rsidRPr="001B0A96" w:rsidRDefault="00B516B8" w:rsidP="001B0A96">
            <w:pPr>
              <w:jc w:val="both"/>
              <w:rPr>
                <w:rFonts w:asciiTheme="majorHAnsi" w:hAnsiTheme="majorHAnsi" w:cstheme="minorHAnsi"/>
                <w:i/>
                <w:sz w:val="20"/>
                <w:szCs w:val="20"/>
              </w:rPr>
            </w:pPr>
            <w:r w:rsidRPr="001B0A96">
              <w:rPr>
                <w:rFonts w:asciiTheme="majorHAnsi" w:hAnsiTheme="majorHAnsi" w:cs="Arial"/>
                <w:i/>
                <w:color w:val="272727"/>
                <w:sz w:val="20"/>
                <w:szCs w:val="20"/>
                <w:shd w:val="clear" w:color="auto" w:fill="FFFFFF"/>
              </w:rPr>
              <w:t>Blue Bird Pure Pvt. Ltd</w:t>
            </w:r>
          </w:p>
        </w:tc>
      </w:tr>
      <w:tr w:rsidR="001B0A96" w14:paraId="5B917976" w14:textId="77777777" w:rsidTr="00B516B8">
        <w:tc>
          <w:tcPr>
            <w:tcW w:w="828" w:type="dxa"/>
          </w:tcPr>
          <w:p w14:paraId="6209B52C" w14:textId="77777777" w:rsidR="001B0A96" w:rsidRPr="001B0A96" w:rsidRDefault="00E85C23" w:rsidP="001B0A96">
            <w:pPr>
              <w:jc w:val="both"/>
              <w:rPr>
                <w:rFonts w:asciiTheme="majorHAnsi" w:hAnsiTheme="majorHAnsi" w:cstheme="minorHAnsi"/>
                <w:i/>
                <w:sz w:val="20"/>
                <w:szCs w:val="20"/>
              </w:rPr>
            </w:pPr>
            <w:r>
              <w:rPr>
                <w:rFonts w:asciiTheme="majorHAnsi" w:hAnsiTheme="majorHAnsi" w:cstheme="minorHAnsi"/>
                <w:i/>
                <w:sz w:val="20"/>
                <w:szCs w:val="20"/>
              </w:rPr>
              <w:t>11</w:t>
            </w:r>
          </w:p>
        </w:tc>
        <w:tc>
          <w:tcPr>
            <w:tcW w:w="3690" w:type="dxa"/>
          </w:tcPr>
          <w:p w14:paraId="29784183" w14:textId="77777777" w:rsidR="001B0A96" w:rsidRPr="001B0A96" w:rsidRDefault="001B0A96" w:rsidP="001B0A96">
            <w:pPr>
              <w:jc w:val="both"/>
              <w:rPr>
                <w:rFonts w:asciiTheme="majorHAnsi" w:hAnsiTheme="majorHAnsi" w:cstheme="minorHAnsi"/>
                <w:sz w:val="20"/>
                <w:szCs w:val="20"/>
              </w:rPr>
            </w:pPr>
            <w:r w:rsidRPr="001B0A96">
              <w:rPr>
                <w:rFonts w:asciiTheme="majorHAnsi" w:hAnsiTheme="majorHAnsi" w:cstheme="minorHAnsi"/>
                <w:sz w:val="20"/>
                <w:szCs w:val="20"/>
              </w:rPr>
              <w:t>2019-TIOL-2421-HC-DEL-GST</w:t>
            </w:r>
          </w:p>
          <w:p w14:paraId="057600FB" w14:textId="77777777" w:rsidR="001B0A96" w:rsidRPr="001B0A96" w:rsidRDefault="001B0A96" w:rsidP="001B0A96">
            <w:pPr>
              <w:jc w:val="both"/>
              <w:rPr>
                <w:rFonts w:asciiTheme="majorHAnsi" w:hAnsiTheme="majorHAnsi" w:cstheme="minorHAnsi"/>
                <w:i/>
                <w:sz w:val="20"/>
                <w:szCs w:val="20"/>
              </w:rPr>
            </w:pPr>
          </w:p>
        </w:tc>
        <w:tc>
          <w:tcPr>
            <w:tcW w:w="3870" w:type="dxa"/>
          </w:tcPr>
          <w:p w14:paraId="1B104E1D" w14:textId="77777777" w:rsidR="001B0A96" w:rsidRPr="001B0A96" w:rsidRDefault="001B0A96" w:rsidP="001B0A96">
            <w:pPr>
              <w:jc w:val="both"/>
              <w:rPr>
                <w:rFonts w:asciiTheme="majorHAnsi" w:hAnsiTheme="majorHAnsi" w:cs="Arial"/>
                <w:i/>
                <w:sz w:val="20"/>
                <w:szCs w:val="20"/>
                <w:shd w:val="clear" w:color="auto" w:fill="FFFFFF"/>
              </w:rPr>
            </w:pPr>
            <w:r w:rsidRPr="001B0A96">
              <w:rPr>
                <w:rFonts w:asciiTheme="majorHAnsi" w:hAnsiTheme="majorHAnsi" w:cs="Arial"/>
                <w:bCs/>
                <w:i/>
                <w:sz w:val="20"/>
                <w:szCs w:val="20"/>
                <w:shd w:val="clear" w:color="auto" w:fill="FFFFFF"/>
              </w:rPr>
              <w:t xml:space="preserve">Godrej And Boyce </w:t>
            </w:r>
            <w:proofErr w:type="spellStart"/>
            <w:r w:rsidRPr="001B0A96">
              <w:rPr>
                <w:rFonts w:asciiTheme="majorHAnsi" w:hAnsiTheme="majorHAnsi" w:cs="Arial"/>
                <w:bCs/>
                <w:i/>
                <w:sz w:val="20"/>
                <w:szCs w:val="20"/>
                <w:shd w:val="clear" w:color="auto" w:fill="FFFFFF"/>
              </w:rPr>
              <w:t>Mfg</w:t>
            </w:r>
            <w:proofErr w:type="spellEnd"/>
            <w:r w:rsidRPr="001B0A96">
              <w:rPr>
                <w:rFonts w:asciiTheme="majorHAnsi" w:hAnsiTheme="majorHAnsi" w:cs="Arial"/>
                <w:bCs/>
                <w:i/>
                <w:sz w:val="20"/>
                <w:szCs w:val="20"/>
                <w:shd w:val="clear" w:color="auto" w:fill="FFFFFF"/>
              </w:rPr>
              <w:t xml:space="preserve"> Company Ltd</w:t>
            </w:r>
          </w:p>
        </w:tc>
      </w:tr>
    </w:tbl>
    <w:p w14:paraId="76ED9648" w14:textId="77777777" w:rsidR="001B0A96" w:rsidRDefault="001B0A96" w:rsidP="0002306C">
      <w:pPr>
        <w:jc w:val="both"/>
        <w:rPr>
          <w:rFonts w:asciiTheme="majorHAnsi" w:hAnsiTheme="majorHAnsi" w:cstheme="minorHAnsi"/>
          <w:sz w:val="24"/>
          <w:szCs w:val="24"/>
        </w:rPr>
      </w:pPr>
    </w:p>
    <w:p w14:paraId="13AB3003" w14:textId="77777777" w:rsidR="00C80AAD" w:rsidRDefault="00057650" w:rsidP="0002306C">
      <w:pPr>
        <w:jc w:val="both"/>
        <w:rPr>
          <w:rFonts w:asciiTheme="majorHAnsi" w:hAnsiTheme="majorHAnsi"/>
          <w:color w:val="222222"/>
          <w:sz w:val="24"/>
          <w:szCs w:val="24"/>
          <w:shd w:val="clear" w:color="auto" w:fill="FFFFFF"/>
        </w:rPr>
      </w:pPr>
      <w:r>
        <w:rPr>
          <w:rFonts w:asciiTheme="majorHAnsi" w:hAnsiTheme="majorHAnsi" w:cstheme="minorHAnsi"/>
          <w:sz w:val="24"/>
          <w:szCs w:val="24"/>
        </w:rPr>
        <w:t>I</w:t>
      </w:r>
      <w:r w:rsidR="00B273A6">
        <w:rPr>
          <w:rFonts w:asciiTheme="majorHAnsi" w:hAnsiTheme="majorHAnsi" w:cstheme="minorHAnsi"/>
          <w:sz w:val="24"/>
          <w:szCs w:val="24"/>
        </w:rPr>
        <w:t xml:space="preserve">n the case of </w:t>
      </w:r>
      <w:r w:rsidR="00B273A6" w:rsidRPr="00B273A6">
        <w:rPr>
          <w:rFonts w:asciiTheme="majorHAnsi" w:hAnsiTheme="majorHAnsi" w:cstheme="minorHAnsi"/>
          <w:b/>
          <w:sz w:val="24"/>
          <w:szCs w:val="24"/>
        </w:rPr>
        <w:t>SRC Aviation Pvt Ltd reported in 2019-TIOL-2931-HC-DEL-GST</w:t>
      </w:r>
      <w:r w:rsidR="00B273A6">
        <w:rPr>
          <w:rFonts w:asciiTheme="majorHAnsi" w:hAnsiTheme="majorHAnsi" w:cstheme="minorHAnsi"/>
          <w:sz w:val="24"/>
          <w:szCs w:val="24"/>
        </w:rPr>
        <w:t xml:space="preserve"> the </w:t>
      </w:r>
      <w:r w:rsidR="00B273A6" w:rsidRPr="0002306C">
        <w:rPr>
          <w:rFonts w:asciiTheme="majorHAnsi" w:hAnsiTheme="majorHAnsi" w:cstheme="minorHAnsi"/>
          <w:sz w:val="24"/>
          <w:szCs w:val="24"/>
        </w:rPr>
        <w:t xml:space="preserve">Hon’ble High Court, </w:t>
      </w:r>
      <w:r w:rsidR="00CA59BF">
        <w:rPr>
          <w:rFonts w:asciiTheme="majorHAnsi" w:hAnsiTheme="majorHAnsi" w:cstheme="minorHAnsi"/>
          <w:sz w:val="24"/>
          <w:szCs w:val="24"/>
        </w:rPr>
        <w:t>D</w:t>
      </w:r>
      <w:r w:rsidR="00B273A6" w:rsidRPr="0002306C">
        <w:rPr>
          <w:rFonts w:asciiTheme="majorHAnsi" w:hAnsiTheme="majorHAnsi" w:cstheme="minorHAnsi"/>
          <w:sz w:val="24"/>
          <w:szCs w:val="24"/>
        </w:rPr>
        <w:t xml:space="preserve">elhi has held that </w:t>
      </w:r>
      <w:r w:rsidR="00B273A6" w:rsidRPr="0002306C">
        <w:rPr>
          <w:rFonts w:asciiTheme="majorHAnsi" w:hAnsiTheme="majorHAnsi"/>
          <w:color w:val="222222"/>
          <w:sz w:val="24"/>
          <w:szCs w:val="24"/>
          <w:shd w:val="clear" w:color="auto" w:fill="FFFFFF"/>
        </w:rPr>
        <w:t xml:space="preserve">many dealers and traders come from rural and semi literate </w:t>
      </w:r>
      <w:r w:rsidR="00B273A6" w:rsidRPr="0002306C">
        <w:rPr>
          <w:rFonts w:asciiTheme="majorHAnsi" w:hAnsiTheme="majorHAnsi"/>
          <w:color w:val="222222"/>
          <w:sz w:val="24"/>
          <w:szCs w:val="24"/>
          <w:shd w:val="clear" w:color="auto" w:fill="FFFFFF"/>
        </w:rPr>
        <w:lastRenderedPageBreak/>
        <w:t>backgrounds and may not have had the presence of mind to create any record of having tried and failed to upload the Form GST </w:t>
      </w:r>
      <w:r w:rsidR="00B273A6" w:rsidRPr="0002306C">
        <w:rPr>
          <w:rStyle w:val="il"/>
          <w:rFonts w:asciiTheme="majorHAnsi" w:hAnsiTheme="majorHAnsi"/>
          <w:color w:val="222222"/>
          <w:sz w:val="24"/>
          <w:szCs w:val="24"/>
          <w:shd w:val="clear" w:color="auto" w:fill="FFFFFF"/>
        </w:rPr>
        <w:t>TRAN</w:t>
      </w:r>
      <w:r w:rsidR="00B273A6" w:rsidRPr="0002306C">
        <w:rPr>
          <w:rFonts w:asciiTheme="majorHAnsi" w:hAnsiTheme="majorHAnsi"/>
          <w:color w:val="222222"/>
          <w:sz w:val="24"/>
          <w:szCs w:val="24"/>
          <w:shd w:val="clear" w:color="auto" w:fill="FFFFFF"/>
        </w:rPr>
        <w:t>-1.Hence they cannot be made to suffer, more so when the system itself is not efficient besides, the credit in favour of an assessee is property &amp; the assessee could not be deprived of the said property save by authority of law in terms of </w:t>
      </w:r>
      <w:r w:rsidR="00B273A6" w:rsidRPr="0002306C">
        <w:rPr>
          <w:rStyle w:val="il"/>
          <w:rFonts w:asciiTheme="majorHAnsi" w:hAnsiTheme="majorHAnsi"/>
          <w:color w:val="222222"/>
          <w:sz w:val="24"/>
          <w:szCs w:val="24"/>
          <w:shd w:val="clear" w:color="auto" w:fill="FFFFFF"/>
        </w:rPr>
        <w:t>Article</w:t>
      </w:r>
      <w:r w:rsidR="00B273A6" w:rsidRPr="0002306C">
        <w:rPr>
          <w:rFonts w:asciiTheme="majorHAnsi" w:hAnsiTheme="majorHAnsi"/>
          <w:color w:val="222222"/>
          <w:sz w:val="24"/>
          <w:szCs w:val="24"/>
          <w:shd w:val="clear" w:color="auto" w:fill="FFFFFF"/>
        </w:rPr>
        <w:t> 300 (A) of the Constitution of India.</w:t>
      </w:r>
    </w:p>
    <w:p w14:paraId="295D8D47" w14:textId="77777777" w:rsidR="00C80AAD" w:rsidRPr="0002306C" w:rsidRDefault="00057650" w:rsidP="0002306C">
      <w:pPr>
        <w:jc w:val="both"/>
        <w:rPr>
          <w:rFonts w:asciiTheme="majorHAnsi" w:hAnsiTheme="majorHAnsi" w:cstheme="minorHAnsi"/>
          <w:sz w:val="24"/>
          <w:szCs w:val="24"/>
        </w:rPr>
      </w:pPr>
      <w:r>
        <w:rPr>
          <w:rFonts w:asciiTheme="majorHAnsi" w:hAnsiTheme="majorHAnsi" w:cstheme="minorHAnsi"/>
          <w:sz w:val="24"/>
          <w:szCs w:val="24"/>
        </w:rPr>
        <w:t xml:space="preserve">5. </w:t>
      </w:r>
      <w:r w:rsidR="00B273A6" w:rsidRPr="0002306C">
        <w:rPr>
          <w:rFonts w:asciiTheme="majorHAnsi" w:hAnsiTheme="majorHAnsi" w:cstheme="minorHAnsi"/>
          <w:sz w:val="24"/>
          <w:szCs w:val="24"/>
        </w:rPr>
        <w:t>In light of the decision</w:t>
      </w:r>
      <w:r w:rsidR="00C80AAD">
        <w:rPr>
          <w:rFonts w:asciiTheme="majorHAnsi" w:hAnsiTheme="majorHAnsi" w:cstheme="minorHAnsi"/>
          <w:sz w:val="24"/>
          <w:szCs w:val="24"/>
        </w:rPr>
        <w:t>s</w:t>
      </w:r>
      <w:r w:rsidR="00B273A6" w:rsidRPr="0002306C">
        <w:rPr>
          <w:rFonts w:asciiTheme="majorHAnsi" w:hAnsiTheme="majorHAnsi" w:cstheme="minorHAnsi"/>
          <w:sz w:val="24"/>
          <w:szCs w:val="24"/>
        </w:rPr>
        <w:t xml:space="preserve"> referred supra</w:t>
      </w:r>
      <w:r w:rsidR="002F062A">
        <w:rPr>
          <w:rFonts w:asciiTheme="majorHAnsi" w:hAnsiTheme="majorHAnsi" w:cstheme="minorHAnsi"/>
          <w:sz w:val="24"/>
          <w:szCs w:val="24"/>
        </w:rPr>
        <w:t>,</w:t>
      </w:r>
      <w:r w:rsidR="00B273A6" w:rsidRPr="0002306C">
        <w:rPr>
          <w:rFonts w:asciiTheme="majorHAnsi" w:hAnsiTheme="majorHAnsi" w:cstheme="minorHAnsi"/>
          <w:sz w:val="24"/>
          <w:szCs w:val="24"/>
        </w:rPr>
        <w:t xml:space="preserve"> the government </w:t>
      </w:r>
      <w:r w:rsidR="002F062A">
        <w:rPr>
          <w:rFonts w:asciiTheme="majorHAnsi" w:hAnsiTheme="majorHAnsi" w:cstheme="minorHAnsi"/>
          <w:sz w:val="24"/>
          <w:szCs w:val="24"/>
        </w:rPr>
        <w:t xml:space="preserve">should </w:t>
      </w:r>
      <w:r w:rsidR="008512D2" w:rsidRPr="0002306C">
        <w:rPr>
          <w:rFonts w:asciiTheme="majorHAnsi" w:hAnsiTheme="majorHAnsi" w:cstheme="minorHAnsi"/>
          <w:sz w:val="24"/>
          <w:szCs w:val="24"/>
        </w:rPr>
        <w:t xml:space="preserve">provide </w:t>
      </w:r>
      <w:r w:rsidR="0002306C" w:rsidRPr="0002306C">
        <w:rPr>
          <w:rFonts w:asciiTheme="majorHAnsi" w:hAnsiTheme="majorHAnsi" w:cstheme="minorHAnsi"/>
          <w:sz w:val="24"/>
          <w:szCs w:val="24"/>
        </w:rPr>
        <w:t xml:space="preserve">an </w:t>
      </w:r>
      <w:r w:rsidR="008512D2" w:rsidRPr="0002306C">
        <w:rPr>
          <w:rFonts w:asciiTheme="majorHAnsi" w:hAnsiTheme="majorHAnsi" w:cstheme="minorHAnsi"/>
          <w:sz w:val="24"/>
          <w:szCs w:val="24"/>
        </w:rPr>
        <w:t xml:space="preserve">opportunity to </w:t>
      </w:r>
      <w:r w:rsidR="002F062A">
        <w:rPr>
          <w:rFonts w:asciiTheme="majorHAnsi" w:hAnsiTheme="majorHAnsi" w:cstheme="minorHAnsi"/>
          <w:sz w:val="24"/>
          <w:szCs w:val="24"/>
        </w:rPr>
        <w:t xml:space="preserve">file Tran 1 declaration to </w:t>
      </w:r>
      <w:r w:rsidR="008512D2" w:rsidRPr="0002306C">
        <w:rPr>
          <w:rFonts w:asciiTheme="majorHAnsi" w:hAnsiTheme="majorHAnsi" w:cstheme="minorHAnsi"/>
          <w:sz w:val="24"/>
          <w:szCs w:val="24"/>
        </w:rPr>
        <w:t xml:space="preserve">all the taxpayers who have </w:t>
      </w:r>
      <w:r w:rsidR="0002306C" w:rsidRPr="0002306C">
        <w:rPr>
          <w:rFonts w:asciiTheme="majorHAnsi" w:hAnsiTheme="majorHAnsi" w:cstheme="minorHAnsi"/>
          <w:sz w:val="24"/>
          <w:szCs w:val="24"/>
        </w:rPr>
        <w:t xml:space="preserve">not filed their Tran 1 </w:t>
      </w:r>
      <w:r w:rsidR="002F062A">
        <w:rPr>
          <w:rFonts w:asciiTheme="majorHAnsi" w:hAnsiTheme="majorHAnsi" w:cstheme="minorHAnsi"/>
          <w:sz w:val="24"/>
          <w:szCs w:val="24"/>
        </w:rPr>
        <w:t xml:space="preserve">without insisting </w:t>
      </w:r>
      <w:r>
        <w:rPr>
          <w:rFonts w:asciiTheme="majorHAnsi" w:hAnsiTheme="majorHAnsi" w:cstheme="minorHAnsi"/>
          <w:sz w:val="24"/>
          <w:szCs w:val="24"/>
        </w:rPr>
        <w:t xml:space="preserve">upon </w:t>
      </w:r>
      <w:r w:rsidR="002F062A">
        <w:rPr>
          <w:rFonts w:asciiTheme="majorHAnsi" w:hAnsiTheme="majorHAnsi" w:cstheme="minorHAnsi"/>
          <w:sz w:val="24"/>
          <w:szCs w:val="24"/>
        </w:rPr>
        <w:t xml:space="preserve">the evidence of technical glitches </w:t>
      </w:r>
      <w:r w:rsidR="00C80AAD">
        <w:rPr>
          <w:rFonts w:asciiTheme="majorHAnsi" w:hAnsiTheme="majorHAnsi" w:cstheme="minorHAnsi"/>
          <w:sz w:val="24"/>
          <w:szCs w:val="24"/>
        </w:rPr>
        <w:t xml:space="preserve">as otherwise it will end up in </w:t>
      </w:r>
      <w:r>
        <w:rPr>
          <w:rFonts w:asciiTheme="majorHAnsi" w:hAnsiTheme="majorHAnsi" w:cstheme="minorHAnsi"/>
          <w:sz w:val="24"/>
          <w:szCs w:val="24"/>
        </w:rPr>
        <w:t xml:space="preserve">significant number of </w:t>
      </w:r>
      <w:r w:rsidR="00C80AAD">
        <w:rPr>
          <w:rFonts w:asciiTheme="majorHAnsi" w:hAnsiTheme="majorHAnsi" w:cstheme="minorHAnsi"/>
          <w:sz w:val="24"/>
          <w:szCs w:val="24"/>
        </w:rPr>
        <w:t xml:space="preserve">court </w:t>
      </w:r>
      <w:r w:rsidR="002277A6">
        <w:rPr>
          <w:rFonts w:asciiTheme="majorHAnsi" w:hAnsiTheme="majorHAnsi" w:cstheme="minorHAnsi"/>
          <w:sz w:val="24"/>
          <w:szCs w:val="24"/>
        </w:rPr>
        <w:t xml:space="preserve">cases </w:t>
      </w:r>
      <w:r w:rsidR="00C80AAD">
        <w:rPr>
          <w:rFonts w:asciiTheme="majorHAnsi" w:hAnsiTheme="majorHAnsi" w:cstheme="minorHAnsi"/>
          <w:sz w:val="24"/>
          <w:szCs w:val="24"/>
        </w:rPr>
        <w:t xml:space="preserve">which is against </w:t>
      </w:r>
      <w:r w:rsidR="00462FA7">
        <w:rPr>
          <w:rFonts w:asciiTheme="majorHAnsi" w:hAnsiTheme="majorHAnsi" w:cstheme="minorHAnsi"/>
          <w:sz w:val="24"/>
          <w:szCs w:val="24"/>
        </w:rPr>
        <w:t>the national litigation policy.</w:t>
      </w:r>
    </w:p>
    <w:sectPr w:rsidR="00C80AAD" w:rsidRPr="0002306C" w:rsidSect="00377D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04F38"/>
    <w:multiLevelType w:val="hybridMultilevel"/>
    <w:tmpl w:val="B84CE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887EDA"/>
    <w:multiLevelType w:val="hybridMultilevel"/>
    <w:tmpl w:val="D200CDB2"/>
    <w:lvl w:ilvl="0" w:tplc="E2FEBF24">
      <w:start w:val="1"/>
      <w:numFmt w:val="lowerRoman"/>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0C12CD"/>
    <w:multiLevelType w:val="hybridMultilevel"/>
    <w:tmpl w:val="D200CDB2"/>
    <w:lvl w:ilvl="0" w:tplc="E2FEBF24">
      <w:start w:val="1"/>
      <w:numFmt w:val="lowerRoman"/>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623CBF"/>
    <w:multiLevelType w:val="hybridMultilevel"/>
    <w:tmpl w:val="E4F66EA0"/>
    <w:lvl w:ilvl="0" w:tplc="04090019">
      <w:start w:val="1"/>
      <w:numFmt w:val="lowerLetter"/>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747B7179"/>
    <w:multiLevelType w:val="hybridMultilevel"/>
    <w:tmpl w:val="0FAE06DC"/>
    <w:lvl w:ilvl="0" w:tplc="D89A1C6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317C9B"/>
    <w:multiLevelType w:val="hybridMultilevel"/>
    <w:tmpl w:val="B0B6AD9A"/>
    <w:lvl w:ilvl="0" w:tplc="D89A1C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62"/>
    <w:rsid w:val="00021877"/>
    <w:rsid w:val="0002306C"/>
    <w:rsid w:val="00032BB5"/>
    <w:rsid w:val="00046C08"/>
    <w:rsid w:val="00057650"/>
    <w:rsid w:val="00084E52"/>
    <w:rsid w:val="00161F0A"/>
    <w:rsid w:val="0018431E"/>
    <w:rsid w:val="00194608"/>
    <w:rsid w:val="001B0A96"/>
    <w:rsid w:val="001D02AC"/>
    <w:rsid w:val="002277A6"/>
    <w:rsid w:val="002A1789"/>
    <w:rsid w:val="002B321F"/>
    <w:rsid w:val="002D2E7D"/>
    <w:rsid w:val="002F062A"/>
    <w:rsid w:val="002F07B5"/>
    <w:rsid w:val="00303679"/>
    <w:rsid w:val="00377D00"/>
    <w:rsid w:val="003A1E50"/>
    <w:rsid w:val="00462FA7"/>
    <w:rsid w:val="00463600"/>
    <w:rsid w:val="004B43DC"/>
    <w:rsid w:val="004C1121"/>
    <w:rsid w:val="00527470"/>
    <w:rsid w:val="00553715"/>
    <w:rsid w:val="005B1821"/>
    <w:rsid w:val="00625C7F"/>
    <w:rsid w:val="0064118D"/>
    <w:rsid w:val="006A1660"/>
    <w:rsid w:val="006D5E2F"/>
    <w:rsid w:val="00703E1E"/>
    <w:rsid w:val="00730C59"/>
    <w:rsid w:val="00752F24"/>
    <w:rsid w:val="007B5481"/>
    <w:rsid w:val="00802FC7"/>
    <w:rsid w:val="00803569"/>
    <w:rsid w:val="00835F71"/>
    <w:rsid w:val="008512D2"/>
    <w:rsid w:val="008646FA"/>
    <w:rsid w:val="00885084"/>
    <w:rsid w:val="008D0251"/>
    <w:rsid w:val="00960967"/>
    <w:rsid w:val="00A303F1"/>
    <w:rsid w:val="00A3198A"/>
    <w:rsid w:val="00A43B62"/>
    <w:rsid w:val="00A60343"/>
    <w:rsid w:val="00A609C9"/>
    <w:rsid w:val="00AC4767"/>
    <w:rsid w:val="00AE0401"/>
    <w:rsid w:val="00AF4015"/>
    <w:rsid w:val="00B273A6"/>
    <w:rsid w:val="00B516B8"/>
    <w:rsid w:val="00BB4543"/>
    <w:rsid w:val="00BF7934"/>
    <w:rsid w:val="00C72297"/>
    <w:rsid w:val="00C80AAD"/>
    <w:rsid w:val="00C977DD"/>
    <w:rsid w:val="00CA59BF"/>
    <w:rsid w:val="00CE4BDA"/>
    <w:rsid w:val="00CE7199"/>
    <w:rsid w:val="00D55398"/>
    <w:rsid w:val="00D744DB"/>
    <w:rsid w:val="00DA2C02"/>
    <w:rsid w:val="00E85C23"/>
    <w:rsid w:val="00E9649F"/>
    <w:rsid w:val="00EA4DD5"/>
    <w:rsid w:val="00F546D6"/>
    <w:rsid w:val="00F6551E"/>
    <w:rsid w:val="00F74C72"/>
    <w:rsid w:val="00F96B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E9B4B"/>
  <w15:docId w15:val="{ADB8B845-3AEE-458C-8AA6-E8B3E25C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A43B62"/>
  </w:style>
  <w:style w:type="paragraph" w:styleId="ListParagraph">
    <w:name w:val="List Paragraph"/>
    <w:basedOn w:val="Normal"/>
    <w:uiPriority w:val="34"/>
    <w:qFormat/>
    <w:rsid w:val="008D0251"/>
    <w:pPr>
      <w:ind w:left="720"/>
      <w:contextualSpacing/>
    </w:pPr>
  </w:style>
  <w:style w:type="character" w:styleId="Strong">
    <w:name w:val="Strong"/>
    <w:basedOn w:val="DefaultParagraphFont"/>
    <w:uiPriority w:val="22"/>
    <w:qFormat/>
    <w:rsid w:val="00553715"/>
    <w:rPr>
      <w:b/>
      <w:bCs/>
    </w:rPr>
  </w:style>
  <w:style w:type="character" w:styleId="Hyperlink">
    <w:name w:val="Hyperlink"/>
    <w:basedOn w:val="DefaultParagraphFont"/>
    <w:uiPriority w:val="99"/>
    <w:semiHidden/>
    <w:unhideWhenUsed/>
    <w:rsid w:val="00553715"/>
    <w:rPr>
      <w:color w:val="0000FF"/>
      <w:u w:val="single"/>
    </w:rPr>
  </w:style>
  <w:style w:type="paragraph" w:styleId="NormalWeb">
    <w:name w:val="Normal (Web)"/>
    <w:basedOn w:val="Normal"/>
    <w:uiPriority w:val="99"/>
    <w:semiHidden/>
    <w:unhideWhenUsed/>
    <w:rsid w:val="0055371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16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660"/>
    <w:rPr>
      <w:rFonts w:ascii="Tahoma" w:hAnsi="Tahoma" w:cs="Tahoma"/>
      <w:sz w:val="16"/>
      <w:szCs w:val="16"/>
    </w:rPr>
  </w:style>
  <w:style w:type="table" w:styleId="TableGrid">
    <w:name w:val="Table Grid"/>
    <w:basedOn w:val="TableNormal"/>
    <w:uiPriority w:val="59"/>
    <w:rsid w:val="00B51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8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Srija</dc:creator>
  <cp:lastModifiedBy> </cp:lastModifiedBy>
  <cp:revision>3</cp:revision>
  <dcterms:created xsi:type="dcterms:W3CDTF">2020-02-03T06:52:00Z</dcterms:created>
  <dcterms:modified xsi:type="dcterms:W3CDTF">2020-02-03T07:09:00Z</dcterms:modified>
</cp:coreProperties>
</file>